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59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01.09.2025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859"/>
        <w:jc w:val="both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color w:val="3d4146"/>
          <w:sz w:val="28"/>
          <w:szCs w:val="28"/>
          <w:highlight w:val="none"/>
        </w:rPr>
      </w:r>
      <w:r>
        <w:rPr>
          <w:rFonts w:ascii="Tinos" w:hAnsi="Tinos" w:eastAsia="Tinos" w:cs="Tinos"/>
          <w:b/>
          <w:color w:val="3d4146"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pStyle w:val="859"/>
        <w:jc w:val="center"/>
        <w:rPr>
          <w:rFonts w:ascii="Tinos" w:hAnsi="Tinos" w:eastAsia="Tinos" w:cs="Tinos"/>
          <w:b/>
          <w:bCs/>
          <w:color w:val="3d4146"/>
          <w:sz w:val="28"/>
          <w:szCs w:val="28"/>
          <w:highlight w:val="none"/>
        </w:rPr>
      </w:pPr>
      <w:r>
        <w:rPr>
          <w:rFonts w:ascii="Tinos" w:hAnsi="Tinos" w:eastAsia="Tinos" w:cs="Tinos"/>
          <w:b/>
          <w:color w:val="3d4146"/>
          <w:sz w:val="28"/>
          <w:szCs w:val="28"/>
          <w:highlight w:val="none"/>
        </w:rPr>
      </w:r>
      <w:r>
        <w:rPr>
          <w:rFonts w:ascii="Tinos" w:hAnsi="Tinos" w:eastAsia="Tinos" w:cs="Tinos"/>
          <w:b/>
          <w:color w:val="3d4146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3d4146"/>
          <w:sz w:val="28"/>
          <w:szCs w:val="28"/>
          <w:highlight w:val="none"/>
        </w:rPr>
      </w:r>
    </w:p>
    <w:p>
      <w:pPr>
        <w:pStyle w:val="859"/>
        <w:jc w:val="center"/>
        <w:rPr>
          <w:rFonts w:ascii="Tinos" w:hAnsi="Tinos" w:eastAsia="Tinos" w:cs="Tinos"/>
          <w:b/>
          <w:bCs/>
          <w:color w:val="3d4146"/>
          <w:sz w:val="28"/>
          <w:szCs w:val="28"/>
          <w:highlight w:val="none"/>
        </w:rPr>
      </w:pPr>
      <w:r>
        <w:rPr>
          <w:rFonts w:ascii="Tinos" w:hAnsi="Tinos" w:eastAsia="Tinos" w:cs="Tinos"/>
          <w:b/>
          <w:sz w:val="28"/>
          <w:szCs w:val="28"/>
        </w:rPr>
      </w:r>
      <w:r>
        <w:rPr>
          <w:rFonts w:ascii="Tinos" w:hAnsi="Tinos" w:eastAsia="Tinos" w:cs="Tinos"/>
          <w:b/>
          <w:color w:val="3d4146"/>
          <w:sz w:val="28"/>
          <w:szCs w:val="28"/>
        </w:rPr>
        <w:t xml:space="preserve">Росреестр напоминает о применении с 1 сентября 2025 г. признаков неиспользования земельных участков</w:t>
      </w:r>
      <w:r>
        <w:rPr>
          <w:rFonts w:ascii="Tinos" w:hAnsi="Tinos" w:eastAsia="Tinos" w:cs="Tinos"/>
          <w:b/>
          <w:bCs/>
          <w:color w:val="3d4146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3d4146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color w:val="292c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cs="Tinos"/>
          <w:color w:val="292c2f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color w:val="292c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С 1 сентября 2025 года вступает в силу </w:t>
      </w:r>
      <w:hyperlink r:id="rId10" w:tooltip="http://publication.pravo.gov.ru/document/0001202506020049?ysclid=mdswxepsjy510352874" w:history="1">
        <w:r>
          <w:rPr>
            <w:rStyle w:val="862"/>
            <w:rFonts w:ascii="Tinos" w:hAnsi="Tinos" w:eastAsia="Tinos" w:cs="Tinos"/>
            <w:color w:val="0000ee"/>
            <w:sz w:val="28"/>
            <w:szCs w:val="28"/>
            <w:u w:val="single"/>
          </w:rPr>
          <w:t xml:space="preserve">постановление Правительства РФ</w:t>
        </w:r>
      </w:hyperlink>
      <w:r>
        <w:rPr>
          <w:rFonts w:ascii="Tinos" w:hAnsi="Tinos" w:eastAsia="Tinos" w:cs="Tinos"/>
          <w:color w:val="292c2f"/>
          <w:sz w:val="28"/>
          <w:szCs w:val="28"/>
        </w:rPr>
        <w:t xml:space="preserve"> № 826 от 31.05.2025, которым утверждён перечень признаков неиспользования земельных участков из состава земель населённых пунктов, садовых и огородных земельных участков. Документ содержит критерии, которые позволят оценить, используются ли земельные учас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тки в соответствии с целевым назначением или нет.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color w:val="292c2f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 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color w:val="292c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Напомним, перечень разработан в рамках реализации </w:t>
      </w:r>
      <w:hyperlink r:id="rId11" w:tooltip="https://rosreestr.gov.ru/press/archive/rosreestr-razyasnil-kak-budet-rabotat-zakon-ob-osvoenii-i-ispolzovanii-uchastkov/" w:history="1">
        <w:r>
          <w:rPr>
            <w:rStyle w:val="862"/>
            <w:rFonts w:ascii="Tinos" w:hAnsi="Tinos" w:eastAsia="Tinos" w:cs="Tinos"/>
            <w:color w:val="0000ee"/>
            <w:sz w:val="28"/>
            <w:szCs w:val="28"/>
            <w:u w:val="single"/>
          </w:rPr>
          <w:t xml:space="preserve">Федерального закона</w:t>
        </w:r>
        <w:r>
          <w:rPr>
            <w:rStyle w:val="862"/>
            <w:rFonts w:ascii="Tinos" w:hAnsi="Tinos" w:eastAsia="Tinos" w:cs="Tinos"/>
            <w:color w:val="0000ee"/>
            <w:sz w:val="28"/>
            <w:szCs w:val="28"/>
            <w:u w:val="none"/>
          </w:rPr>
          <w:t xml:space="preserve"> № 307-ФЗ</w:t>
        </w:r>
      </w:hyperlink>
      <w:r>
        <w:rPr>
          <w:rFonts w:ascii="Tinos" w:hAnsi="Tinos" w:eastAsia="Tinos" w:cs="Tinos"/>
          <w:color w:val="292c2f"/>
          <w:sz w:val="28"/>
          <w:szCs w:val="28"/>
        </w:rPr>
        <w:t xml:space="preserve">, который вступил в силу с 1 марта 2025 года и определяет в том числе трёхлетний срок для освоения земельных участков, расположенных в границах населенных пунктов, садовых и огородных земельных участков. По новым правилам, правообладатели земельных участко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в, которые невозможно использовать сразу после приобретения прав, должны приступить к их использованию после проведения мероприятий по освоению. Перечень таких </w:t>
      </w:r>
      <w:hyperlink r:id="rId12" w:tooltip="https://rosreestr.gov.ru/press/archive/pravitelstvo-utverdilo-perechen-meropriyatiy-neobkhodimykh-dlya-osvoeniya-zemelnogo-uchastka/" w:history="1">
        <w:r>
          <w:rPr>
            <w:rStyle w:val="862"/>
            <w:rFonts w:ascii="Tinos" w:hAnsi="Tinos" w:eastAsia="Tinos" w:cs="Tinos"/>
            <w:color w:val="0000ee"/>
            <w:sz w:val="28"/>
            <w:szCs w:val="28"/>
            <w:u w:val="single"/>
          </w:rPr>
          <w:t xml:space="preserve">мероприятий</w:t>
        </w:r>
      </w:hyperlink>
      <w:r>
        <w:rPr>
          <w:rFonts w:ascii="Tinos" w:hAnsi="Tinos" w:eastAsia="Tinos" w:cs="Tinos"/>
          <w:color w:val="292c2f"/>
          <w:sz w:val="28"/>
          <w:szCs w:val="28"/>
        </w:rPr>
        <w:t xml:space="preserve"> также утвержден соответствующим распоряжением Правительства РФ.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color w:val="292c2f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Руководствуясь перечнем признаков неиспользования, правообладатели будут знать, чего нельзя допускать на своих земельных участках, и смогут своевременно принять меры, необходимые для соблюдения законодательства.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 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Например, садовые, огородные и приусадебные земельные участки не должны быть заросшими сорными растениями. Если через один год после того, как состояние участка зафиксировал инспектор, на 50% его площади останутся сорные растения высотой более 1 метра, а т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акже деревья и кустарники, не являющиеся предметами благоустройства и озеленения, это будет свидетельствовать о неиспользовании участка и являться нарушением земельного законодательства.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 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Для земельных участков, предназначенных для строительства, таким признаком станет отсутствие построенного и оформленного здания, сооружения в течение 5 лет с момента оформления прав на земельный участок. При этом установлены случаи, когда такой срок может 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быть иным – например, если он указан в разрешении на строительство или решении о комплексном развитии территории.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 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Для земельных участков, предназначенных для индивидуального жилищного строительства, введен аналогичный признак неиспользования. При этом срок для строительства индивидуального жилого дома и регистрации права на него увеличен до 7 лет с момента оформления 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прав на земельный участок.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 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Если на земельном участке уже построены здание либо сооружение, то необходимо содержать их в надлежащем состоянии, не допускать разрушения крыши, стен, выпадения окон или стекол из окон. В случае, если такие разрушения имеют место, собственник должен в теч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ение года с момента фиксации состояния участка инспектором приступить к восстановлению зданий или сооружений. Иначе это также будет свидетельствовать о неиспользовании земельного участка.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 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Кроме того, для всех земельных участков в границах населённых пунктов, а также садовых и огородных участков общим признаком неиспользования является захламление или загрязнение отходами более 50% их площади.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Roboto" w:hAnsi="Roboto" w:eastAsia="Roboto" w:cs="Roboto"/>
          <w:sz w:val="24"/>
        </w:rPr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Roboto" w:hAnsi="Roboto" w:eastAsia="Roboto" w:cs="Roboto"/>
          <w:sz w:val="24"/>
        </w:rPr>
      </w:r>
      <w:r/>
    </w:p>
    <w:p>
      <w:pPr>
        <w:ind w:left="0" w:right="0" w:firstLine="0"/>
        <w:spacing w:before="0" w:after="0"/>
        <w:rPr>
          <w:rFonts w:ascii="Roboto" w:hAnsi="Roboto" w:eastAsia="Roboto" w:cs="Roboto"/>
          <w:sz w:val="21"/>
          <w:szCs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Roboto" w:hAnsi="Roboto" w:eastAsia="Roboto" w:cs="Roboto"/>
          <w:color w:val="292c2f"/>
          <w:sz w:val="21"/>
          <w:highlight w:val="none"/>
        </w:rPr>
      </w:r>
      <w:r>
        <w:rPr>
          <w:rFonts w:ascii="Roboto" w:hAnsi="Roboto" w:eastAsia="Roboto" w:cs="Roboto"/>
          <w:color w:val="292c2f"/>
          <w:sz w:val="21"/>
          <w:highlight w:val="none"/>
        </w:rPr>
      </w:r>
      <w:r>
        <w:rPr>
          <w:rFonts w:ascii="Roboto" w:hAnsi="Roboto" w:eastAsia="Roboto" w:cs="Roboto"/>
          <w:sz w:val="21"/>
          <w:szCs w:val="21"/>
        </w:rPr>
      </w:r>
    </w:p>
    <w:p>
      <w:pPr>
        <w:ind w:firstLine="709"/>
        <w:jc w:val="both"/>
        <w:spacing w:after="0" w:line="36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  <w:outlineLvl w:val="1"/>
      </w:pP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92c2f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92c2f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92c2f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92c2f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92c2f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92c2f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92c2f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92c2f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92c2f"/>
        <w:sz w:val="21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 w:numId="8">
    <w:abstractNumId w:val="2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4"/>
    <w:link w:val="853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2"/>
    <w:next w:val="852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4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2"/>
    <w:next w:val="852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4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2"/>
    <w:next w:val="852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4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2"/>
    <w:next w:val="852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4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2"/>
    <w:next w:val="852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4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2"/>
    <w:next w:val="852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4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2"/>
    <w:next w:val="852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4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2"/>
    <w:next w:val="852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4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2"/>
    <w:next w:val="852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4"/>
    <w:link w:val="695"/>
    <w:uiPriority w:val="10"/>
    <w:rPr>
      <w:sz w:val="48"/>
      <w:szCs w:val="48"/>
    </w:rPr>
  </w:style>
  <w:style w:type="paragraph" w:styleId="697">
    <w:name w:val="Subtitle"/>
    <w:basedOn w:val="852"/>
    <w:next w:val="852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4"/>
    <w:link w:val="697"/>
    <w:uiPriority w:val="11"/>
    <w:rPr>
      <w:sz w:val="24"/>
      <w:szCs w:val="24"/>
    </w:rPr>
  </w:style>
  <w:style w:type="paragraph" w:styleId="699">
    <w:name w:val="Quote"/>
    <w:basedOn w:val="852"/>
    <w:next w:val="852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2"/>
    <w:next w:val="852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2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basedOn w:val="854"/>
    <w:link w:val="703"/>
    <w:uiPriority w:val="99"/>
  </w:style>
  <w:style w:type="paragraph" w:styleId="705">
    <w:name w:val="Footer"/>
    <w:basedOn w:val="852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basedOn w:val="854"/>
    <w:link w:val="705"/>
    <w:uiPriority w:val="99"/>
  </w:style>
  <w:style w:type="paragraph" w:styleId="707">
    <w:name w:val="Caption"/>
    <w:basedOn w:val="852"/>
    <w:next w:val="8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705"/>
    <w:uiPriority w:val="99"/>
  </w:style>
  <w:style w:type="table" w:styleId="709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basedOn w:val="854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basedOn w:val="854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paragraph" w:styleId="853">
    <w:name w:val="Heading 1"/>
    <w:basedOn w:val="852"/>
    <w:next w:val="852"/>
    <w:link w:val="860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4" w:default="1">
    <w:name w:val="Default Paragraph Font"/>
    <w:uiPriority w:val="1"/>
    <w:semiHidden/>
    <w:unhideWhenUsed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paragraph" w:styleId="857">
    <w:name w:val="Balloon Text"/>
    <w:basedOn w:val="852"/>
    <w:link w:val="85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8" w:customStyle="1">
    <w:name w:val="Текст выноски Знак"/>
    <w:basedOn w:val="854"/>
    <w:link w:val="857"/>
    <w:uiPriority w:val="99"/>
    <w:semiHidden/>
    <w:rPr>
      <w:rFonts w:ascii="Segoe UI" w:hAnsi="Segoe UI" w:cs="Segoe UI"/>
      <w:sz w:val="18"/>
      <w:szCs w:val="18"/>
    </w:rPr>
  </w:style>
  <w:style w:type="paragraph" w:styleId="859">
    <w:name w:val="No Spacing"/>
    <w:uiPriority w:val="1"/>
    <w:qFormat/>
    <w:pPr>
      <w:spacing w:after="0" w:line="240" w:lineRule="auto"/>
    </w:pPr>
  </w:style>
  <w:style w:type="character" w:styleId="860" w:customStyle="1">
    <w:name w:val="Заголовок 1 Знак"/>
    <w:basedOn w:val="854"/>
    <w:link w:val="85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1">
    <w:name w:val="List Paragraph"/>
    <w:basedOn w:val="852"/>
    <w:uiPriority w:val="34"/>
    <w:qFormat/>
    <w:pPr>
      <w:contextualSpacing/>
      <w:ind w:left="720"/>
      <w:spacing w:line="256" w:lineRule="auto"/>
    </w:pPr>
  </w:style>
  <w:style w:type="character" w:styleId="862">
    <w:name w:val="Hyperlink"/>
    <w:basedOn w:val="854"/>
    <w:uiPriority w:val="99"/>
    <w:unhideWhenUsed/>
    <w:rPr>
      <w:color w:val="0563c1" w:themeColor="hyperlink"/>
      <w:u w:val="single"/>
    </w:rPr>
  </w:style>
  <w:style w:type="character" w:styleId="863">
    <w:name w:val="annotation reference"/>
    <w:basedOn w:val="854"/>
    <w:uiPriority w:val="99"/>
    <w:semiHidden/>
    <w:unhideWhenUsed/>
    <w:rPr>
      <w:sz w:val="16"/>
      <w:szCs w:val="16"/>
    </w:rPr>
  </w:style>
  <w:style w:type="paragraph" w:styleId="864">
    <w:name w:val="annotation text"/>
    <w:basedOn w:val="852"/>
    <w:link w:val="865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5" w:customStyle="1">
    <w:name w:val="Текст примечания Знак"/>
    <w:basedOn w:val="854"/>
    <w:link w:val="864"/>
    <w:uiPriority w:val="99"/>
    <w:semiHidden/>
    <w:rPr>
      <w:sz w:val="20"/>
      <w:szCs w:val="20"/>
    </w:rPr>
  </w:style>
  <w:style w:type="paragraph" w:styleId="866">
    <w:name w:val="annotation subject"/>
    <w:basedOn w:val="864"/>
    <w:next w:val="864"/>
    <w:link w:val="867"/>
    <w:uiPriority w:val="99"/>
    <w:semiHidden/>
    <w:unhideWhenUsed/>
    <w:rPr>
      <w:b/>
      <w:bCs/>
    </w:rPr>
  </w:style>
  <w:style w:type="character" w:styleId="867" w:customStyle="1">
    <w:name w:val="Тема примечания Знак"/>
    <w:basedOn w:val="865"/>
    <w:link w:val="866"/>
    <w:uiPriority w:val="99"/>
    <w:semiHidden/>
    <w:rPr>
      <w:b/>
      <w:bCs/>
      <w:sz w:val="20"/>
      <w:szCs w:val="20"/>
    </w:rPr>
  </w:style>
  <w:style w:type="paragraph" w:styleId="868">
    <w:name w:val="Normal (Web)"/>
    <w:basedOn w:val="85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://publication.pravo.gov.ru/document/0001202506020049?ysclid=mdswxepsjy510352874" TargetMode="External"/><Relationship Id="rId11" Type="http://schemas.openxmlformats.org/officeDocument/2006/relationships/hyperlink" Target="https://rosreestr.gov.ru/press/archive/rosreestr-razyasnil-kak-budet-rabotat-zakon-ob-osvoenii-i-ispolzovanii-uchastkov/" TargetMode="External"/><Relationship Id="rId12" Type="http://schemas.openxmlformats.org/officeDocument/2006/relationships/hyperlink" Target="https://rosreestr.gov.ru/press/archive/pravitelstvo-utverdilo-perechen-meropriyatiy-neobkhodimykh-dlya-osvoeniya-zemelnogo-uchastka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17</cp:revision>
  <dcterms:created xsi:type="dcterms:W3CDTF">2024-10-01T13:57:00Z</dcterms:created>
  <dcterms:modified xsi:type="dcterms:W3CDTF">2025-09-01T12:36:01Z</dcterms:modified>
</cp:coreProperties>
</file>