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Pr="0005318F" w:rsidRDefault="00EA3ED6" w:rsidP="00700A6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18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F4A" w:rsidRPr="0005318F" w:rsidRDefault="00EA3ED6" w:rsidP="00170533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5318F">
        <w:rPr>
          <w:rFonts w:ascii="Times New Roman" w:hAnsi="Times New Roman"/>
          <w:b/>
          <w:sz w:val="28"/>
          <w:szCs w:val="28"/>
        </w:rPr>
        <w:t>Управление Росреестра по Республике Адыгея</w:t>
      </w:r>
    </w:p>
    <w:p w:rsidR="008E033B" w:rsidRDefault="008E033B" w:rsidP="00700A6C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EE01B2" w:rsidRPr="0005318F" w:rsidRDefault="00EE01B2" w:rsidP="00700A6C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05318F">
        <w:rPr>
          <w:rFonts w:ascii="Times New Roman" w:hAnsi="Times New Roman"/>
          <w:b/>
          <w:color w:val="auto"/>
          <w:sz w:val="28"/>
          <w:szCs w:val="28"/>
        </w:rPr>
        <w:t>За 10 месяцев 2021 года число поданных россиянами экстерриториальных заявлений увеличилось на 42%</w:t>
      </w:r>
    </w:p>
    <w:p w:rsidR="00EE01B2" w:rsidRPr="0005318F" w:rsidRDefault="00EE01B2" w:rsidP="008E033B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05318F">
        <w:rPr>
          <w:rFonts w:ascii="Times New Roman" w:hAnsi="Times New Roman"/>
          <w:color w:val="auto"/>
          <w:sz w:val="28"/>
          <w:szCs w:val="28"/>
        </w:rPr>
        <w:t>Общее количество заявлений на государственную регистрацию прав, кадастровый учет и в рамках единой процедуры*, поступивших по экстерриториальному принципу по всей России с января по октябрь 2021 года, составило 498 тыс. Это на 42% больше, чем за аналогичный период прошлого года (350 тыс.).</w:t>
      </w:r>
    </w:p>
    <w:p w:rsidR="00170533" w:rsidRPr="008E033B" w:rsidRDefault="00EE01B2" w:rsidP="008E033B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C8756D">
        <w:rPr>
          <w:rFonts w:ascii="Times New Roman" w:hAnsi="Times New Roman"/>
          <w:color w:val="auto"/>
          <w:sz w:val="28"/>
          <w:szCs w:val="28"/>
        </w:rPr>
        <w:t>«Позитивная динамика обусловлена тем, что с февраля 2021 года, благодаря эффективному взаимодействию Росреестра с Минэкономразвития России и администрациями субъектов, экстерриториальный прием документов стал доступен в МФЦ во всех субъектах РФ. Сегодня это можно сделать более чем в 3,5 тыс. МФЦ страны и на сайте Росреестра. Граждане, проживая в одном регионе РФ, дистанционно могут поставить на учет и зарегистрировать права на любое недвижимое имущество, находящееся в другом. Мы видим, что за такой непродолжительный промежуток времени услуга показала востребованность у заявителей. В первую очередь, благодаря удобству: люди экономят свои ресурсы - время и денежные средства»,</w:t>
      </w:r>
      <w:r w:rsidRPr="0005318F">
        <w:rPr>
          <w:rFonts w:ascii="Times New Roman" w:hAnsi="Times New Roman"/>
          <w:color w:val="auto"/>
          <w:sz w:val="28"/>
          <w:szCs w:val="28"/>
        </w:rPr>
        <w:t xml:space="preserve"> - </w:t>
      </w:r>
      <w:r w:rsidRPr="008E033B">
        <w:rPr>
          <w:rFonts w:ascii="Times New Roman" w:hAnsi="Times New Roman"/>
          <w:color w:val="auto"/>
          <w:sz w:val="28"/>
          <w:szCs w:val="28"/>
        </w:rPr>
        <w:t>отметила заместитель руководителя Росреестра Елена Мартынова.</w:t>
      </w:r>
    </w:p>
    <w:p w:rsidR="00846A3B" w:rsidRDefault="0005318F" w:rsidP="008E033B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0531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Прием документов экстерриториально уже осуществляется </w:t>
      </w:r>
      <w:hyperlink r:id="rId7" w:anchor="/offices" w:history="1">
        <w:r w:rsidRPr="0005318F">
          <w:rPr>
            <w:rFonts w:ascii="Times New Roman" w:hAnsi="Times New Roman"/>
            <w:color w:val="auto"/>
            <w:sz w:val="28"/>
            <w:szCs w:val="28"/>
          </w:rPr>
          <w:t>во всех офисах МФЦ Адыгеи</w:t>
        </w:r>
      </w:hyperlink>
      <w:r w:rsidRPr="000531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 на сайте Росреестра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 w:rsidRPr="000531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6A3B" w:rsidRPr="0005318F">
        <w:rPr>
          <w:rFonts w:ascii="Times New Roman" w:hAnsi="Times New Roman"/>
          <w:color w:val="auto"/>
          <w:sz w:val="28"/>
          <w:szCs w:val="28"/>
        </w:rPr>
        <w:t>Воспользоваться услугой могут как физические, так и юридические лица.</w:t>
      </w:r>
      <w:r w:rsidR="00F81E37" w:rsidRPr="0005318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97D15" w:rsidRPr="008E033B" w:rsidRDefault="00197D15" w:rsidP="00C8756D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E033B">
        <w:rPr>
          <w:rFonts w:ascii="Times New Roman" w:hAnsi="Times New Roman"/>
          <w:color w:val="auto"/>
          <w:sz w:val="28"/>
          <w:szCs w:val="28"/>
        </w:rPr>
        <w:lastRenderedPageBreak/>
        <w:t xml:space="preserve">Так за 10 месяцев 2021 года на территории республики было принято 1048 экстерриториальных заявлений на оказание государственных услуг Росреестра. </w:t>
      </w:r>
    </w:p>
    <w:p w:rsidR="00197D15" w:rsidRPr="008E033B" w:rsidRDefault="005B78C3" w:rsidP="008E033B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8E033B">
        <w:rPr>
          <w:rFonts w:ascii="Times New Roman" w:hAnsi="Times New Roman"/>
          <w:color w:val="auto"/>
          <w:sz w:val="28"/>
          <w:szCs w:val="28"/>
        </w:rPr>
        <w:t xml:space="preserve">Количество поступивших </w:t>
      </w:r>
      <w:r w:rsidR="0091660C" w:rsidRPr="008E033B">
        <w:rPr>
          <w:rFonts w:ascii="Times New Roman" w:hAnsi="Times New Roman"/>
          <w:color w:val="auto"/>
          <w:sz w:val="28"/>
          <w:szCs w:val="28"/>
        </w:rPr>
        <w:t xml:space="preserve">на обработку </w:t>
      </w:r>
      <w:r w:rsidRPr="008E033B">
        <w:rPr>
          <w:rFonts w:ascii="Times New Roman" w:hAnsi="Times New Roman"/>
          <w:color w:val="auto"/>
          <w:sz w:val="28"/>
          <w:szCs w:val="28"/>
        </w:rPr>
        <w:t xml:space="preserve">из </w:t>
      </w:r>
      <w:r w:rsidR="0091660C" w:rsidRPr="008E033B">
        <w:rPr>
          <w:rFonts w:ascii="Times New Roman" w:hAnsi="Times New Roman"/>
          <w:color w:val="auto"/>
          <w:sz w:val="28"/>
          <w:szCs w:val="28"/>
        </w:rPr>
        <w:t xml:space="preserve">других регионов </w:t>
      </w:r>
      <w:r w:rsidRPr="008E033B">
        <w:rPr>
          <w:rFonts w:ascii="Times New Roman" w:hAnsi="Times New Roman"/>
          <w:color w:val="auto"/>
          <w:sz w:val="28"/>
          <w:szCs w:val="28"/>
        </w:rPr>
        <w:t xml:space="preserve">экстерриториальных заявлений о проведении государственного кадастрового учета и государственной регистрации прав </w:t>
      </w:r>
      <w:r w:rsidR="0091660C" w:rsidRPr="008E033B">
        <w:rPr>
          <w:rFonts w:ascii="Times New Roman" w:hAnsi="Times New Roman"/>
          <w:color w:val="auto"/>
          <w:sz w:val="28"/>
          <w:szCs w:val="28"/>
        </w:rPr>
        <w:t>составило 7062.</w:t>
      </w:r>
    </w:p>
    <w:p w:rsidR="00EE01B2" w:rsidRPr="0005318F" w:rsidRDefault="00846A3B" w:rsidP="008E033B">
      <w:pPr>
        <w:spacing w:before="100" w:beforeAutospacing="1" w:after="100" w:afterAutospacing="1" w:line="360" w:lineRule="auto"/>
        <w:ind w:firstLine="709"/>
        <w:jc w:val="both"/>
        <w:outlineLvl w:val="1"/>
        <w:rPr>
          <w:rStyle w:val="extendedtext-full"/>
          <w:rFonts w:ascii="Times New Roman" w:hAnsi="Times New Roman"/>
          <w:sz w:val="28"/>
          <w:szCs w:val="28"/>
        </w:rPr>
      </w:pPr>
      <w:r w:rsidRPr="0005318F">
        <w:rPr>
          <w:rFonts w:ascii="Times New Roman" w:hAnsi="Times New Roman"/>
          <w:color w:val="auto"/>
          <w:sz w:val="28"/>
          <w:szCs w:val="28"/>
        </w:rPr>
        <w:t>Как отметила руководитель Управления Росреестра по Республике Адыгея Марина Никифорова, у</w:t>
      </w:r>
      <w:r w:rsidR="00EE01B2" w:rsidRPr="0005318F">
        <w:rPr>
          <w:rFonts w:ascii="Times New Roman" w:hAnsi="Times New Roman"/>
          <w:color w:val="auto"/>
          <w:sz w:val="28"/>
          <w:szCs w:val="28"/>
        </w:rPr>
        <w:t xml:space="preserve">слуга подачи документов по экстерриториальному принципу является очень своевременной, так как многие люди из северных регионов приобретают недвижимость на юге. Возможность подать документы онлайн или в МФЦ своего региона </w:t>
      </w:r>
      <w:r w:rsidR="007E7F98" w:rsidRPr="0005318F">
        <w:rPr>
          <w:rStyle w:val="extendedtext-full"/>
          <w:rFonts w:ascii="Times New Roman" w:hAnsi="Times New Roman"/>
          <w:sz w:val="28"/>
          <w:szCs w:val="28"/>
        </w:rPr>
        <w:t>позволяет повысить доступность государственных услуг для заявителей, а также существенно сократить временные и финансовые затраты заявителей на поездки в другие регионы для проведения учетно-регистрационных действий с недвижимостью. Данная возможность реализована благодаря переходу органов регистрации прав по всей России на единую централизованную систему ведения реестра недвижимости.</w:t>
      </w:r>
    </w:p>
    <w:p w:rsidR="00612234" w:rsidRPr="0005318F" w:rsidRDefault="00612234" w:rsidP="008E033B">
      <w:pPr>
        <w:pStyle w:val="a5"/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5318F">
        <w:rPr>
          <w:rFonts w:ascii="Times New Roman" w:hAnsi="Times New Roman"/>
          <w:color w:val="auto"/>
          <w:sz w:val="28"/>
          <w:szCs w:val="28"/>
        </w:rPr>
        <w:t>На сегодняшний день, подать документы на оформление недвижимости</w:t>
      </w:r>
      <w:r w:rsidRPr="000531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5318F">
        <w:rPr>
          <w:rFonts w:ascii="Times New Roman" w:hAnsi="Times New Roman"/>
          <w:color w:val="auto"/>
          <w:sz w:val="28"/>
          <w:szCs w:val="28"/>
        </w:rPr>
        <w:t xml:space="preserve">по экстерриториальному принципу </w:t>
      </w:r>
      <w:r w:rsidRPr="000531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можно также по предварительной записи в </w:t>
      </w:r>
      <w:r w:rsidRPr="0005318F">
        <w:rPr>
          <w:rFonts w:ascii="Times New Roman" w:hAnsi="Times New Roman"/>
          <w:color w:val="auto"/>
          <w:sz w:val="28"/>
          <w:szCs w:val="28"/>
        </w:rPr>
        <w:t>офисах Кадастровой палаты по адресу:</w:t>
      </w:r>
    </w:p>
    <w:p w:rsidR="00612234" w:rsidRPr="0005318F" w:rsidRDefault="00612234" w:rsidP="008E033B">
      <w:pPr>
        <w:pStyle w:val="a5"/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05318F">
        <w:rPr>
          <w:rFonts w:ascii="Times New Roman" w:hAnsi="Times New Roman"/>
          <w:color w:val="auto"/>
          <w:sz w:val="28"/>
          <w:szCs w:val="28"/>
        </w:rPr>
        <w:t>- г. Майкоп, ул. Майкопская, 41;</w:t>
      </w:r>
    </w:p>
    <w:p w:rsidR="00612234" w:rsidRPr="0005318F" w:rsidRDefault="00612234" w:rsidP="008E033B">
      <w:pPr>
        <w:pStyle w:val="a5"/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05318F">
        <w:rPr>
          <w:rFonts w:ascii="Times New Roman" w:hAnsi="Times New Roman"/>
          <w:color w:val="auto"/>
          <w:sz w:val="28"/>
          <w:szCs w:val="28"/>
        </w:rPr>
        <w:t>- Майкопский район, п. Тульский, ул. Школьная, 24.</w:t>
      </w:r>
    </w:p>
    <w:p w:rsidR="00700A6C" w:rsidRPr="0005318F" w:rsidRDefault="00612234" w:rsidP="008E033B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5318F">
        <w:rPr>
          <w:rFonts w:ascii="Times New Roman" w:hAnsi="Times New Roman"/>
          <w:color w:val="auto"/>
          <w:sz w:val="28"/>
          <w:szCs w:val="28"/>
        </w:rPr>
        <w:t xml:space="preserve">Предварительная запись доступна в личном кабинете на </w:t>
      </w:r>
      <w:hyperlink r:id="rId8" w:anchor="/offices" w:history="1">
        <w:r w:rsidRPr="0005318F">
          <w:rPr>
            <w:rStyle w:val="a7"/>
            <w:rFonts w:ascii="Times New Roman" w:hAnsi="Times New Roman"/>
            <w:color w:val="auto"/>
            <w:sz w:val="28"/>
            <w:szCs w:val="28"/>
          </w:rPr>
          <w:t>сайте Росреестра</w:t>
        </w:r>
      </w:hyperlink>
      <w:r w:rsidRPr="0005318F">
        <w:rPr>
          <w:rFonts w:ascii="Times New Roman" w:hAnsi="Times New Roman"/>
          <w:color w:val="auto"/>
          <w:sz w:val="28"/>
          <w:szCs w:val="28"/>
        </w:rPr>
        <w:t>. Чтобы записаться на прием, достаточно авторизоваться, используя учетную запись единого портала государственных услуг РФ, и выбрать подходящий офис Кадастровой палаты.</w:t>
      </w:r>
    </w:p>
    <w:p w:rsidR="00700A6C" w:rsidRPr="008E033B" w:rsidRDefault="00170533" w:rsidP="008E033B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8756D">
        <w:rPr>
          <w:rFonts w:ascii="Times New Roman" w:hAnsi="Times New Roman"/>
          <w:iCs/>
          <w:color w:val="auto"/>
          <w:sz w:val="28"/>
          <w:szCs w:val="28"/>
        </w:rPr>
        <w:t>«Немал</w:t>
      </w:r>
      <w:r w:rsidR="00706B9E" w:rsidRPr="00C8756D">
        <w:rPr>
          <w:rFonts w:ascii="Times New Roman" w:hAnsi="Times New Roman"/>
          <w:iCs/>
          <w:color w:val="auto"/>
          <w:sz w:val="28"/>
          <w:szCs w:val="28"/>
        </w:rPr>
        <w:t>ое</w:t>
      </w:r>
      <w:r w:rsidR="00700A6C" w:rsidRPr="00C8756D">
        <w:rPr>
          <w:rFonts w:ascii="Times New Roman" w:hAnsi="Times New Roman"/>
          <w:iCs/>
          <w:color w:val="auto"/>
          <w:sz w:val="28"/>
          <w:szCs w:val="28"/>
        </w:rPr>
        <w:t xml:space="preserve"> преимущество экстерриториального оформления недвижимости </w:t>
      </w:r>
      <w:r w:rsidR="00706B9E" w:rsidRPr="00C8756D">
        <w:rPr>
          <w:rFonts w:ascii="Times New Roman" w:hAnsi="Times New Roman"/>
          <w:iCs/>
          <w:color w:val="auto"/>
          <w:sz w:val="28"/>
          <w:szCs w:val="28"/>
        </w:rPr>
        <w:t xml:space="preserve">заключается в </w:t>
      </w:r>
      <w:r w:rsidR="00700A6C" w:rsidRPr="00C8756D">
        <w:rPr>
          <w:rFonts w:ascii="Times New Roman" w:hAnsi="Times New Roman"/>
          <w:iCs/>
          <w:color w:val="auto"/>
          <w:sz w:val="28"/>
          <w:szCs w:val="28"/>
        </w:rPr>
        <w:t>то</w:t>
      </w:r>
      <w:r w:rsidR="00706B9E" w:rsidRPr="00C8756D">
        <w:rPr>
          <w:rFonts w:ascii="Times New Roman" w:hAnsi="Times New Roman"/>
          <w:iCs/>
          <w:color w:val="auto"/>
          <w:sz w:val="28"/>
          <w:szCs w:val="28"/>
        </w:rPr>
        <w:t>м</w:t>
      </w:r>
      <w:r w:rsidR="00700A6C" w:rsidRPr="00C8756D">
        <w:rPr>
          <w:rFonts w:ascii="Times New Roman" w:hAnsi="Times New Roman"/>
          <w:iCs/>
          <w:color w:val="auto"/>
          <w:sz w:val="28"/>
          <w:szCs w:val="28"/>
        </w:rPr>
        <w:t xml:space="preserve">, что учетно-регистрационные действия проводятся в те же сроки, что и при обычном способе подачи документов: пять </w:t>
      </w:r>
      <w:r w:rsidR="00700A6C" w:rsidRPr="00C8756D">
        <w:rPr>
          <w:rFonts w:ascii="Times New Roman" w:hAnsi="Times New Roman"/>
          <w:iCs/>
          <w:color w:val="auto"/>
          <w:sz w:val="28"/>
          <w:szCs w:val="28"/>
        </w:rPr>
        <w:lastRenderedPageBreak/>
        <w:t>рабочих дней – для кадастрового учета, семь – для регистрации прав, десять – для единой процедуры учета и регистрации. В случае подачи документов через МФЦ срок предоставления услуги увеличивается на два дня</w:t>
      </w:r>
      <w:r w:rsidR="00700A6C" w:rsidRPr="00C8756D">
        <w:rPr>
          <w:rFonts w:ascii="Times New Roman" w:hAnsi="Times New Roman"/>
          <w:color w:val="auto"/>
          <w:sz w:val="28"/>
          <w:szCs w:val="28"/>
        </w:rPr>
        <w:t>»,</w:t>
      </w:r>
      <w:r w:rsidR="00700A6C" w:rsidRPr="000531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00A6C" w:rsidRPr="008E033B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706B9E" w:rsidRPr="008E033B">
        <w:rPr>
          <w:rFonts w:ascii="Times New Roman" w:hAnsi="Times New Roman"/>
          <w:color w:val="auto"/>
          <w:sz w:val="28"/>
          <w:szCs w:val="28"/>
        </w:rPr>
        <w:t>поясняет</w:t>
      </w:r>
      <w:r w:rsidRPr="008E033B">
        <w:rPr>
          <w:rFonts w:ascii="Times New Roman" w:hAnsi="Times New Roman"/>
          <w:color w:val="auto"/>
          <w:sz w:val="28"/>
          <w:szCs w:val="28"/>
        </w:rPr>
        <w:t xml:space="preserve"> и.о. директора Кадастровой палаты по Республике Адыгея М.А. Нехай.</w:t>
      </w:r>
    </w:p>
    <w:p w:rsidR="00EE01B2" w:rsidRPr="0005318F" w:rsidRDefault="00700A6C" w:rsidP="008E033B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5318F">
        <w:rPr>
          <w:rFonts w:ascii="Times New Roman" w:hAnsi="Times New Roman"/>
          <w:color w:val="auto"/>
          <w:sz w:val="28"/>
          <w:szCs w:val="28"/>
        </w:rPr>
        <w:t>После проведения необходимой процедуры заявитель получает выписку из Единого государственного реестра недвижимости (ЕГРН), которая подтверждает осуществление учетно-регистрационных действий в отношении интересующего объекта недвижимости.</w:t>
      </w:r>
    </w:p>
    <w:p w:rsidR="00EE01B2" w:rsidRPr="006C0283" w:rsidRDefault="00EE01B2" w:rsidP="008E033B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hAnsi="Times New Roman"/>
          <w:i/>
          <w:color w:val="auto"/>
          <w:sz w:val="28"/>
          <w:szCs w:val="28"/>
        </w:rPr>
      </w:pPr>
      <w:bookmarkStart w:id="0" w:name="_GoBack"/>
      <w:r w:rsidRPr="006C0283">
        <w:rPr>
          <w:rFonts w:ascii="Times New Roman" w:hAnsi="Times New Roman"/>
          <w:i/>
          <w:color w:val="auto"/>
          <w:sz w:val="28"/>
          <w:szCs w:val="28"/>
        </w:rPr>
        <w:t>Справочно:</w:t>
      </w:r>
    </w:p>
    <w:bookmarkEnd w:id="0"/>
    <w:p w:rsidR="00EE01B2" w:rsidRPr="0005318F" w:rsidRDefault="00EE01B2" w:rsidP="008E033B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05318F">
        <w:rPr>
          <w:rFonts w:ascii="Times New Roman" w:hAnsi="Times New Roman"/>
          <w:color w:val="auto"/>
          <w:sz w:val="28"/>
          <w:szCs w:val="28"/>
        </w:rPr>
        <w:t>Прием документов экстерриториально уже осуществляется в 3,5 тыс. МФЦ страны и на сайте Росреестра. Воспользоваться услугой могут как физические, так и юридические лица.</w:t>
      </w:r>
    </w:p>
    <w:p w:rsidR="00700A6C" w:rsidRPr="0005318F" w:rsidRDefault="00EE01B2" w:rsidP="008E033B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05318F">
        <w:rPr>
          <w:rFonts w:ascii="Times New Roman" w:hAnsi="Times New Roman"/>
          <w:color w:val="auto"/>
          <w:sz w:val="28"/>
          <w:szCs w:val="28"/>
        </w:rPr>
        <w:t>Экстерриториальный принцип оказания услуг Росреестра – это возможность обращаться за государственной регистрацией прав и постановкой на государственный кадастровый учет независимо от места расположения объекта недвижимости. В случае подачи заявления по экстерриториальному принципу регистрацию проводит орган по месту нахождения объекта недвижимости. Процедура проводится на основании электронных документов, созданных органом регистрации по месту приема документов.</w:t>
      </w:r>
    </w:p>
    <w:p w:rsidR="00705638" w:rsidRPr="0005318F" w:rsidRDefault="00705638" w:rsidP="00C8756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5318F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C8756D" w:rsidRPr="00705638" w:rsidRDefault="00C8756D" w:rsidP="00C8756D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C8756D" w:rsidRPr="00705638" w:rsidRDefault="00C8756D" w:rsidP="00C8756D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C8756D" w:rsidRPr="00705638" w:rsidRDefault="00C8756D" w:rsidP="00C8756D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C8756D" w:rsidRPr="00705638" w:rsidRDefault="00C8756D" w:rsidP="00C8756D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C8756D" w:rsidRPr="00705638" w:rsidRDefault="00C8756D" w:rsidP="00C8756D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C8756D" w:rsidRPr="00CC4BCC" w:rsidRDefault="00C8756D" w:rsidP="00C8756D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p w:rsidR="0093724C" w:rsidRPr="0005318F" w:rsidRDefault="0093724C" w:rsidP="00C8756D">
      <w:pPr>
        <w:tabs>
          <w:tab w:val="left" w:pos="18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93724C" w:rsidRPr="0005318F" w:rsidSect="00C4151A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ED9"/>
    <w:rsid w:val="0005318F"/>
    <w:rsid w:val="000C3F79"/>
    <w:rsid w:val="000E6BE8"/>
    <w:rsid w:val="00122ED9"/>
    <w:rsid w:val="00170533"/>
    <w:rsid w:val="00197D15"/>
    <w:rsid w:val="00200EBC"/>
    <w:rsid w:val="00215C1C"/>
    <w:rsid w:val="003950A6"/>
    <w:rsid w:val="003A0B61"/>
    <w:rsid w:val="003D71F7"/>
    <w:rsid w:val="003F507B"/>
    <w:rsid w:val="0043058A"/>
    <w:rsid w:val="0045550D"/>
    <w:rsid w:val="00492FE6"/>
    <w:rsid w:val="00493061"/>
    <w:rsid w:val="00497C2E"/>
    <w:rsid w:val="005120E3"/>
    <w:rsid w:val="005475ED"/>
    <w:rsid w:val="005935CF"/>
    <w:rsid w:val="005A4CA7"/>
    <w:rsid w:val="005B78C3"/>
    <w:rsid w:val="005E2402"/>
    <w:rsid w:val="00612234"/>
    <w:rsid w:val="006308A4"/>
    <w:rsid w:val="006358B7"/>
    <w:rsid w:val="006454EA"/>
    <w:rsid w:val="00650164"/>
    <w:rsid w:val="00650E0F"/>
    <w:rsid w:val="006C021B"/>
    <w:rsid w:val="006C0283"/>
    <w:rsid w:val="006C0B6C"/>
    <w:rsid w:val="006F6A4D"/>
    <w:rsid w:val="00700A6C"/>
    <w:rsid w:val="00705638"/>
    <w:rsid w:val="00706B9E"/>
    <w:rsid w:val="007B54FF"/>
    <w:rsid w:val="007D3282"/>
    <w:rsid w:val="007E2DF6"/>
    <w:rsid w:val="007E7F98"/>
    <w:rsid w:val="007F3C65"/>
    <w:rsid w:val="00846A3B"/>
    <w:rsid w:val="008772E8"/>
    <w:rsid w:val="008B203C"/>
    <w:rsid w:val="008E033B"/>
    <w:rsid w:val="0091660C"/>
    <w:rsid w:val="0093724C"/>
    <w:rsid w:val="00940D53"/>
    <w:rsid w:val="009779A8"/>
    <w:rsid w:val="0098212C"/>
    <w:rsid w:val="00A0095A"/>
    <w:rsid w:val="00A07AB8"/>
    <w:rsid w:val="00A21BEE"/>
    <w:rsid w:val="00AD5B76"/>
    <w:rsid w:val="00B0260F"/>
    <w:rsid w:val="00B36A06"/>
    <w:rsid w:val="00BC6916"/>
    <w:rsid w:val="00C31F4A"/>
    <w:rsid w:val="00C4151A"/>
    <w:rsid w:val="00C83E41"/>
    <w:rsid w:val="00C86F21"/>
    <w:rsid w:val="00C8756D"/>
    <w:rsid w:val="00CA4A42"/>
    <w:rsid w:val="00CA704B"/>
    <w:rsid w:val="00CB6B66"/>
    <w:rsid w:val="00CC4BCC"/>
    <w:rsid w:val="00D669E9"/>
    <w:rsid w:val="00DA3845"/>
    <w:rsid w:val="00DB2326"/>
    <w:rsid w:val="00E14F62"/>
    <w:rsid w:val="00E355A4"/>
    <w:rsid w:val="00E378AA"/>
    <w:rsid w:val="00E75509"/>
    <w:rsid w:val="00EA3ED6"/>
    <w:rsid w:val="00EE01B2"/>
    <w:rsid w:val="00F33752"/>
    <w:rsid w:val="00F4772B"/>
    <w:rsid w:val="00F81E37"/>
    <w:rsid w:val="00F9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4151A"/>
  </w:style>
  <w:style w:type="paragraph" w:styleId="10">
    <w:name w:val="heading 1"/>
    <w:next w:val="a"/>
    <w:link w:val="11"/>
    <w:uiPriority w:val="9"/>
    <w:qFormat/>
    <w:rsid w:val="00C4151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4151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4151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4151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4151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4151A"/>
  </w:style>
  <w:style w:type="paragraph" w:styleId="21">
    <w:name w:val="toc 2"/>
    <w:next w:val="a"/>
    <w:link w:val="22"/>
    <w:uiPriority w:val="39"/>
    <w:rsid w:val="00C4151A"/>
    <w:pPr>
      <w:ind w:left="200"/>
    </w:pPr>
  </w:style>
  <w:style w:type="character" w:customStyle="1" w:styleId="22">
    <w:name w:val="Оглавление 2 Знак"/>
    <w:link w:val="21"/>
    <w:rsid w:val="00C4151A"/>
  </w:style>
  <w:style w:type="paragraph" w:styleId="41">
    <w:name w:val="toc 4"/>
    <w:next w:val="a"/>
    <w:link w:val="42"/>
    <w:uiPriority w:val="39"/>
    <w:rsid w:val="00C4151A"/>
    <w:pPr>
      <w:ind w:left="600"/>
    </w:pPr>
  </w:style>
  <w:style w:type="character" w:customStyle="1" w:styleId="42">
    <w:name w:val="Оглавление 4 Знак"/>
    <w:link w:val="41"/>
    <w:rsid w:val="00C4151A"/>
  </w:style>
  <w:style w:type="paragraph" w:customStyle="1" w:styleId="12">
    <w:name w:val="Гиперссылка1"/>
    <w:link w:val="13"/>
    <w:rsid w:val="00C4151A"/>
    <w:rPr>
      <w:color w:val="0000FF"/>
      <w:u w:val="single"/>
    </w:rPr>
  </w:style>
  <w:style w:type="character" w:customStyle="1" w:styleId="13">
    <w:name w:val="Гиперссылка1"/>
    <w:link w:val="12"/>
    <w:rsid w:val="00C4151A"/>
    <w:rPr>
      <w:color w:val="0000FF"/>
      <w:u w:val="single"/>
    </w:rPr>
  </w:style>
  <w:style w:type="paragraph" w:styleId="6">
    <w:name w:val="toc 6"/>
    <w:next w:val="a"/>
    <w:link w:val="60"/>
    <w:uiPriority w:val="39"/>
    <w:rsid w:val="00C4151A"/>
    <w:pPr>
      <w:ind w:left="1000"/>
    </w:pPr>
  </w:style>
  <w:style w:type="character" w:customStyle="1" w:styleId="60">
    <w:name w:val="Оглавление 6 Знак"/>
    <w:link w:val="6"/>
    <w:rsid w:val="00C4151A"/>
  </w:style>
  <w:style w:type="paragraph" w:customStyle="1" w:styleId="14">
    <w:name w:val="Обычный1"/>
    <w:link w:val="15"/>
    <w:rsid w:val="00C4151A"/>
  </w:style>
  <w:style w:type="character" w:customStyle="1" w:styleId="15">
    <w:name w:val="Обычный1"/>
    <w:link w:val="14"/>
    <w:rsid w:val="00C4151A"/>
  </w:style>
  <w:style w:type="paragraph" w:styleId="7">
    <w:name w:val="toc 7"/>
    <w:next w:val="a"/>
    <w:link w:val="70"/>
    <w:uiPriority w:val="39"/>
    <w:rsid w:val="00C4151A"/>
    <w:pPr>
      <w:ind w:left="1200"/>
    </w:pPr>
  </w:style>
  <w:style w:type="character" w:customStyle="1" w:styleId="70">
    <w:name w:val="Оглавление 7 Знак"/>
    <w:link w:val="7"/>
    <w:rsid w:val="00C4151A"/>
  </w:style>
  <w:style w:type="character" w:customStyle="1" w:styleId="30">
    <w:name w:val="Заголовок 3 Знак"/>
    <w:link w:val="3"/>
    <w:rsid w:val="00C4151A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C4151A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4151A"/>
    <w:rPr>
      <w:rFonts w:ascii="Tahoma" w:hAnsi="Tahoma"/>
      <w:sz w:val="16"/>
    </w:rPr>
  </w:style>
  <w:style w:type="paragraph" w:customStyle="1" w:styleId="16">
    <w:name w:val="Основной шрифт абзаца1"/>
    <w:rsid w:val="00C4151A"/>
  </w:style>
  <w:style w:type="paragraph" w:customStyle="1" w:styleId="17">
    <w:name w:val="Гиперссылка1"/>
    <w:link w:val="18"/>
    <w:rsid w:val="00C4151A"/>
    <w:rPr>
      <w:color w:val="0000FF"/>
      <w:u w:val="single"/>
    </w:rPr>
  </w:style>
  <w:style w:type="character" w:customStyle="1" w:styleId="18">
    <w:name w:val="Гиперссылка1"/>
    <w:link w:val="17"/>
    <w:rsid w:val="00C4151A"/>
    <w:rPr>
      <w:color w:val="0000FF"/>
      <w:u w:val="single"/>
    </w:rPr>
  </w:style>
  <w:style w:type="paragraph" w:customStyle="1" w:styleId="19">
    <w:name w:val="Основной шрифт абзаца1"/>
    <w:link w:val="1a"/>
    <w:rsid w:val="00C4151A"/>
  </w:style>
  <w:style w:type="character" w:customStyle="1" w:styleId="1a">
    <w:name w:val="Основной шрифт абзаца1"/>
    <w:link w:val="19"/>
    <w:rsid w:val="00C4151A"/>
  </w:style>
  <w:style w:type="paragraph" w:customStyle="1" w:styleId="extended-textshort">
    <w:name w:val="extended-text__short"/>
    <w:basedOn w:val="19"/>
    <w:link w:val="extended-textshort0"/>
    <w:rsid w:val="00C4151A"/>
  </w:style>
  <w:style w:type="character" w:customStyle="1" w:styleId="extended-textshort0">
    <w:name w:val="extended-text__short"/>
    <w:basedOn w:val="1a"/>
    <w:link w:val="extended-textshort"/>
    <w:rsid w:val="00C4151A"/>
  </w:style>
  <w:style w:type="paragraph" w:styleId="31">
    <w:name w:val="toc 3"/>
    <w:next w:val="a"/>
    <w:link w:val="32"/>
    <w:uiPriority w:val="39"/>
    <w:rsid w:val="00C4151A"/>
    <w:pPr>
      <w:ind w:left="400"/>
    </w:pPr>
  </w:style>
  <w:style w:type="character" w:customStyle="1" w:styleId="32">
    <w:name w:val="Оглавление 3 Знак"/>
    <w:link w:val="31"/>
    <w:rsid w:val="00C4151A"/>
  </w:style>
  <w:style w:type="paragraph" w:styleId="a5">
    <w:name w:val="List Paragraph"/>
    <w:basedOn w:val="a"/>
    <w:link w:val="a6"/>
    <w:uiPriority w:val="34"/>
    <w:qFormat/>
    <w:rsid w:val="00C4151A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4151A"/>
  </w:style>
  <w:style w:type="character" w:customStyle="1" w:styleId="50">
    <w:name w:val="Заголовок 5 Знак"/>
    <w:link w:val="5"/>
    <w:rsid w:val="00C4151A"/>
    <w:rPr>
      <w:rFonts w:ascii="XO Thames" w:hAnsi="XO Thames"/>
      <w:b/>
    </w:rPr>
  </w:style>
  <w:style w:type="character" w:customStyle="1" w:styleId="11">
    <w:name w:val="Заголовок 1 Знак"/>
    <w:link w:val="10"/>
    <w:rsid w:val="00C4151A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C4151A"/>
    <w:rPr>
      <w:color w:val="0000FF"/>
      <w:u w:val="single"/>
    </w:rPr>
  </w:style>
  <w:style w:type="character" w:styleId="a7">
    <w:name w:val="Hyperlink"/>
    <w:link w:val="23"/>
    <w:uiPriority w:val="99"/>
    <w:rsid w:val="00C4151A"/>
    <w:rPr>
      <w:color w:val="0000FF"/>
      <w:u w:val="single"/>
    </w:rPr>
  </w:style>
  <w:style w:type="paragraph" w:customStyle="1" w:styleId="Footnote">
    <w:name w:val="Footnote"/>
    <w:link w:val="Footnote0"/>
    <w:rsid w:val="00C4151A"/>
    <w:rPr>
      <w:rFonts w:ascii="XO Thames" w:hAnsi="XO Thames"/>
    </w:rPr>
  </w:style>
  <w:style w:type="character" w:customStyle="1" w:styleId="Footnote0">
    <w:name w:val="Footnote"/>
    <w:link w:val="Footnote"/>
    <w:rsid w:val="00C4151A"/>
    <w:rPr>
      <w:rFonts w:ascii="XO Thames" w:hAnsi="XO Thames"/>
    </w:rPr>
  </w:style>
  <w:style w:type="paragraph" w:styleId="1b">
    <w:name w:val="toc 1"/>
    <w:next w:val="a"/>
    <w:link w:val="1c"/>
    <w:uiPriority w:val="39"/>
    <w:rsid w:val="00C4151A"/>
    <w:rPr>
      <w:rFonts w:ascii="XO Thames" w:hAnsi="XO Thames"/>
      <w:b/>
    </w:rPr>
  </w:style>
  <w:style w:type="character" w:customStyle="1" w:styleId="1c">
    <w:name w:val="Оглавление 1 Знак"/>
    <w:link w:val="1b"/>
    <w:rsid w:val="00C4151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4151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4151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4151A"/>
    <w:pPr>
      <w:ind w:left="1600"/>
    </w:pPr>
  </w:style>
  <w:style w:type="character" w:customStyle="1" w:styleId="90">
    <w:name w:val="Оглавление 9 Знак"/>
    <w:link w:val="9"/>
    <w:rsid w:val="00C4151A"/>
  </w:style>
  <w:style w:type="paragraph" w:styleId="8">
    <w:name w:val="toc 8"/>
    <w:next w:val="a"/>
    <w:link w:val="80"/>
    <w:uiPriority w:val="39"/>
    <w:rsid w:val="00C4151A"/>
    <w:pPr>
      <w:ind w:left="1400"/>
    </w:pPr>
  </w:style>
  <w:style w:type="character" w:customStyle="1" w:styleId="80">
    <w:name w:val="Оглавление 8 Знак"/>
    <w:link w:val="8"/>
    <w:rsid w:val="00C4151A"/>
  </w:style>
  <w:style w:type="paragraph" w:styleId="a8">
    <w:name w:val="Normal (Web)"/>
    <w:basedOn w:val="a"/>
    <w:link w:val="a9"/>
    <w:rsid w:val="00C4151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C4151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4151A"/>
    <w:pPr>
      <w:ind w:left="800"/>
    </w:pPr>
  </w:style>
  <w:style w:type="character" w:customStyle="1" w:styleId="52">
    <w:name w:val="Оглавление 5 Знак"/>
    <w:link w:val="51"/>
    <w:rsid w:val="00C4151A"/>
  </w:style>
  <w:style w:type="paragraph" w:customStyle="1" w:styleId="24">
    <w:name w:val="Основной шрифт абзаца2"/>
    <w:link w:val="25"/>
    <w:rsid w:val="00C4151A"/>
  </w:style>
  <w:style w:type="character" w:customStyle="1" w:styleId="25">
    <w:name w:val="Основной шрифт абзаца2"/>
    <w:link w:val="24"/>
    <w:rsid w:val="00C4151A"/>
  </w:style>
  <w:style w:type="paragraph" w:styleId="aa">
    <w:name w:val="Subtitle"/>
    <w:next w:val="a"/>
    <w:link w:val="ab"/>
    <w:uiPriority w:val="11"/>
    <w:qFormat/>
    <w:rsid w:val="00C4151A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C4151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4151A"/>
    <w:pPr>
      <w:ind w:left="1800"/>
    </w:pPr>
  </w:style>
  <w:style w:type="character" w:customStyle="1" w:styleId="toc100">
    <w:name w:val="toc 10"/>
    <w:link w:val="toc10"/>
    <w:rsid w:val="00C4151A"/>
  </w:style>
  <w:style w:type="paragraph" w:styleId="ac">
    <w:name w:val="Title"/>
    <w:next w:val="a"/>
    <w:link w:val="ad"/>
    <w:uiPriority w:val="10"/>
    <w:qFormat/>
    <w:rsid w:val="00C4151A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C4151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4151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4151A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  <w:rsid w:val="00C4151A"/>
  </w:style>
  <w:style w:type="character" w:customStyle="1" w:styleId="1e">
    <w:name w:val="Обычный1"/>
    <w:link w:val="1d"/>
    <w:rsid w:val="00C4151A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2021-10-25T12:53:00Z</cp:lastPrinted>
  <dcterms:created xsi:type="dcterms:W3CDTF">2021-11-23T11:35:00Z</dcterms:created>
  <dcterms:modified xsi:type="dcterms:W3CDTF">2021-11-24T08:27:00Z</dcterms:modified>
</cp:coreProperties>
</file>