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7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57"/>
      </w:pPr>
      <w:r/>
      <w:r/>
    </w:p>
    <w:p>
      <w:pPr>
        <w:pStyle w:val="857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22.09.</w:t>
      </w:r>
      <w:r>
        <w:rPr>
          <w:rFonts w:ascii="Times New Roman" w:hAnsi="Times New Roman" w:cs="Times New Roman"/>
          <w:b/>
          <w:sz w:val="26"/>
          <w:szCs w:val="26"/>
        </w:rPr>
        <w:t xml:space="preserve">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85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rPr>
          <w:rFonts w:ascii="Tinos" w:hAnsi="Tinos" w:cs="Tinos"/>
          <w:b/>
          <w:bCs/>
          <w:i/>
          <w:sz w:val="28"/>
          <w:szCs w:val="28"/>
        </w:rPr>
      </w:pPr>
      <w:r>
        <w:rPr>
          <w:rFonts w:ascii="Tinos" w:hAnsi="Tinos" w:eastAsia="Tinos" w:cs="Tinos"/>
          <w:b/>
          <w:i/>
          <w:sz w:val="28"/>
          <w:szCs w:val="28"/>
          <w:highlight w:val="none"/>
          <w:lang w:eastAsia="en-US"/>
        </w:rPr>
      </w:r>
      <w:r>
        <w:rPr>
          <w:rFonts w:ascii="Tinos" w:hAnsi="Tinos" w:cs="Tinos"/>
          <w:b/>
          <w:bCs/>
          <w:i/>
          <w:sz w:val="28"/>
          <w:szCs w:val="28"/>
        </w:rPr>
      </w:r>
      <w:r>
        <w:rPr>
          <w:rFonts w:ascii="Tinos" w:hAnsi="Tinos" w:cs="Tinos"/>
          <w:b/>
          <w:bCs/>
          <w:i/>
          <w:sz w:val="28"/>
          <w:szCs w:val="28"/>
        </w:rPr>
      </w:r>
    </w:p>
    <w:p>
      <w:pPr>
        <w:pStyle w:val="849"/>
        <w:jc w:val="center"/>
        <w:rPr>
          <w:rFonts w:ascii="Tinos" w:hAnsi="Tinos" w:eastAsia="Tinos" w:cs="Tinos"/>
          <w:b/>
          <w:bCs/>
          <w:i/>
          <w:sz w:val="28"/>
          <w:szCs w:val="28"/>
          <w:highlight w:val="none"/>
          <w:lang w:eastAsia="en-US"/>
        </w:rPr>
      </w:pPr>
      <w:r>
        <w:rPr>
          <w:rFonts w:ascii="Tinos" w:hAnsi="Tinos" w:eastAsia="Tinos" w:cs="Tinos"/>
          <w:b/>
          <w:i/>
          <w:sz w:val="28"/>
          <w:szCs w:val="28"/>
          <w:lang w:eastAsia="en-US"/>
        </w:rPr>
        <w:t xml:space="preserve">В </w:t>
      </w:r>
      <w:r>
        <w:rPr>
          <w:rFonts w:ascii="Tinos" w:hAnsi="Tinos" w:eastAsia="Tinos" w:cs="Tinos"/>
          <w:b/>
          <w:i/>
          <w:sz w:val="28"/>
          <w:szCs w:val="28"/>
          <w:lang w:eastAsia="en-US"/>
        </w:rPr>
        <w:t xml:space="preserve">Адыгее</w:t>
      </w:r>
      <w:r>
        <w:rPr>
          <w:rFonts w:ascii="Tinos" w:hAnsi="Tinos" w:eastAsia="Tinos" w:cs="Tinos"/>
          <w:b/>
          <w:i/>
          <w:sz w:val="28"/>
          <w:szCs w:val="28"/>
          <w:lang w:eastAsia="en-US"/>
        </w:rPr>
        <w:t xml:space="preserve"> продолжается работа над устранением противоречий </w:t>
      </w:r>
      <w:r>
        <w:rPr>
          <w:rFonts w:ascii="Tinos" w:hAnsi="Tinos" w:eastAsia="Tinos" w:cs="Tinos"/>
          <w:b/>
          <w:bCs/>
          <w:i/>
          <w:iCs/>
          <w:color w:val="000000" w:themeColor="text1"/>
          <w:sz w:val="28"/>
          <w:szCs w:val="28"/>
        </w:rPr>
        <w:t xml:space="preserve">между границами земельных участков граждан и лесного фонда</w:t>
      </w:r>
      <w:r>
        <w:rPr>
          <w:rFonts w:ascii="Tinos" w:hAnsi="Tinos" w:eastAsia="Tinos" w:cs="Tinos"/>
          <w:b/>
          <w:bCs/>
          <w:i/>
          <w:sz w:val="28"/>
          <w:szCs w:val="28"/>
          <w:highlight w:val="none"/>
          <w:lang w:eastAsia="en-US"/>
        </w:rPr>
      </w:r>
      <w:r>
        <w:rPr>
          <w:rFonts w:ascii="Tinos" w:hAnsi="Tinos" w:eastAsia="Tinos" w:cs="Tinos"/>
          <w:b/>
          <w:bCs/>
          <w:i/>
          <w:sz w:val="28"/>
          <w:szCs w:val="28"/>
          <w:highlight w:val="none"/>
          <w:lang w:eastAsia="en-US"/>
        </w:rPr>
      </w:r>
    </w:p>
    <w:p>
      <w:pPr>
        <w:ind w:left="0" w:right="0" w:firstLine="0"/>
        <w:rPr>
          <w:rFonts w:ascii="Liberation Sans" w:hAnsi="Liberation Sans" w:eastAsia="Liberation Sans" w:cs="Liberation San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3b4256"/>
          <w:sz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Ошибочные данные о 113857 кв.м лесных участков исключены из сведений Единого государственного реестра недвижимости (ЕГРН) в результате применения так называемого закона о «лесной амнистии» в Адыгее. 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Закон о «лесной амнистии» вступил в силу 11 августа 2017 года. Его задачей стало устранение противоречий между границами земельных участков граждан и лесного фонда.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Благодаря устранению пересечения границ лесных участков с границами других лесных участков и земельных участков иных категорий земель с начала реализации закона задублированная площадь лесов в ЕГРН уменьшена на 113857 кв.м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», – отметила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руководитель Управления Росеестра по Республике Адыгея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Марина Никифорова</w:t>
      </w:r>
      <w:hyperlink r:id="rId10" w:tooltip="https://finance.rambler.ru/person/gromova-tatyana/" w:history="1">
        <w:r>
          <w:rPr>
            <w:rStyle w:val="860"/>
            <w:rFonts w:ascii="Tinos" w:hAnsi="Tinos" w:eastAsia="Tinos" w:cs="Tinos"/>
            <w:b/>
            <w:color w:val="000000" w:themeColor="text1"/>
            <w:sz w:val="28"/>
            <w:szCs w:val="28"/>
            <w:u w:val="none"/>
          </w:rPr>
          <w:t xml:space="preserve">.</w:t>
        </w:r>
      </w:hyperlink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300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За весь период действия «лесной амнистии» закон о ней применялся 68 раз. Из них по инициативе Управления</w:t>
      </w:r>
      <w:hyperlink r:id="rId11" w:tooltip="https://finance.rambler.ru/organization/rosreestr/" w:history="1">
        <w:r>
          <w:rPr>
            <w:rStyle w:val="860"/>
            <w:rFonts w:ascii="Tinos" w:hAnsi="Tinos" w:eastAsia="Tinos" w:cs="Tinos"/>
            <w:b/>
            <w:color w:val="000000" w:themeColor="text1"/>
            <w:sz w:val="28"/>
            <w:szCs w:val="28"/>
            <w:u w:val="none"/>
          </w:rPr>
          <w:t xml:space="preserve"> - </w:t>
        </w:r>
        <w:r>
          <w:rPr>
            <w:rStyle w:val="860"/>
            <w:rFonts w:ascii="Tinos" w:hAnsi="Tinos" w:eastAsia="Tinos" w:cs="Tinos"/>
            <w:b w:val="0"/>
            <w:bCs w:val="0"/>
            <w:color w:val="000000" w:themeColor="text1"/>
            <w:sz w:val="28"/>
            <w:szCs w:val="28"/>
            <w:u w:val="none"/>
          </w:rPr>
          <w:t xml:space="preserve">49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, правообладателей и органов госвласти - 19. 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849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en-US"/>
        </w:rPr>
        <w:t xml:space="preserve">Проблему отсутствия данных о границах участков, наложения границ земельных участков различных</w:t>
      </w:r>
      <w:r>
        <w:rPr>
          <w:rFonts w:ascii="Tinos" w:hAnsi="Tinos" w:eastAsia="Tinos" w:cs="Tinos"/>
          <w:sz w:val="28"/>
          <w:szCs w:val="28"/>
          <w:lang w:eastAsia="en-US"/>
        </w:rPr>
        <w:t xml:space="preserve"> </w:t>
      </w:r>
      <w:r>
        <w:rPr>
          <w:rFonts w:ascii="Tinos" w:hAnsi="Tinos" w:eastAsia="Tinos" w:cs="Tinos"/>
          <w:sz w:val="28"/>
          <w:szCs w:val="28"/>
          <w:lang w:eastAsia="en-US"/>
        </w:rPr>
        <w:t xml:space="preserve">категорий на лесной фонд решают в нашей республике специалисты Управления Росреестра по </w:t>
      </w:r>
      <w:r>
        <w:rPr>
          <w:rFonts w:ascii="Tinos" w:hAnsi="Tinos" w:eastAsia="Tinos" w:cs="Tinos"/>
          <w:sz w:val="28"/>
          <w:szCs w:val="28"/>
          <w:lang w:eastAsia="en-US"/>
        </w:rPr>
        <w:t xml:space="preserve">Республике Адыгея</w:t>
      </w:r>
      <w:r>
        <w:rPr>
          <w:rFonts w:ascii="Tinos" w:hAnsi="Tinos" w:eastAsia="Tinos" w:cs="Tinos"/>
          <w:sz w:val="28"/>
          <w:szCs w:val="28"/>
          <w:lang w:eastAsia="en-US"/>
        </w:rPr>
        <w:t xml:space="preserve"> и</w:t>
      </w:r>
      <w:r>
        <w:rPr>
          <w:rFonts w:ascii="Tinos" w:hAnsi="Tinos" w:eastAsia="Tinos" w:cs="Tinos"/>
          <w:sz w:val="28"/>
          <w:szCs w:val="28"/>
          <w:lang w:eastAsia="en-US"/>
        </w:rPr>
        <w:t xml:space="preserve"> </w:t>
      </w:r>
      <w:r>
        <w:rPr>
          <w:rFonts w:ascii="Tinos" w:hAnsi="Tinos" w:eastAsia="Tinos" w:cs="Tinos"/>
          <w:sz w:val="28"/>
          <w:szCs w:val="28"/>
          <w:lang w:eastAsia="en-US"/>
        </w:rPr>
        <w:t xml:space="preserve">Роскадастра</w:t>
      </w:r>
      <w:r>
        <w:rPr>
          <w:rFonts w:ascii="Tinos" w:hAnsi="Tinos" w:eastAsia="Tinos" w:cs="Tinos"/>
          <w:sz w:val="28"/>
          <w:szCs w:val="28"/>
          <w:lang w:eastAsia="en-US"/>
        </w:rPr>
        <w:t xml:space="preserve"> во взаимодействии с Управлением лесами Республики Адыгея</w:t>
      </w:r>
      <w:r>
        <w:rPr>
          <w:rFonts w:ascii="Tinos" w:hAnsi="Tinos" w:eastAsia="Tinos" w:cs="Tinos"/>
          <w:sz w:val="28"/>
          <w:szCs w:val="28"/>
          <w:lang w:eastAsia="en-US"/>
        </w:rPr>
        <w:t xml:space="preserve">. </w:t>
      </w:r>
      <w:r>
        <w:rPr>
          <w:rFonts w:ascii="Tinos" w:hAnsi="Tinos" w:eastAsia="Tinos" w:cs="Tinos"/>
          <w:i w:val="0"/>
          <w:iCs w:val="0"/>
          <w:sz w:val="28"/>
          <w:szCs w:val="28"/>
        </w:rPr>
        <w:t xml:space="preserve">Они проводят сплошную проверку всех земельных участков, которые пересекают</w:t>
      </w:r>
      <w:r>
        <w:rPr>
          <w:rFonts w:ascii="Tinos" w:hAnsi="Tinos" w:eastAsia="Tinos" w:cs="Tinos"/>
          <w:i w:val="0"/>
          <w:iCs w:val="0"/>
          <w:sz w:val="28"/>
          <w:szCs w:val="28"/>
        </w:rPr>
        <w:t xml:space="preserve">ся с границами леса, рассматривая каждую ситуацию отдельно</w:t>
      </w:r>
      <w:r>
        <w:rPr>
          <w:rFonts w:ascii="Tinos" w:hAnsi="Tinos" w:eastAsia="Tinos" w:cs="Tinos"/>
          <w:i w:val="0"/>
          <w:iCs w:val="0"/>
          <w:sz w:val="28"/>
          <w:szCs w:val="28"/>
          <w:lang w:eastAsia="en-US"/>
        </w:rPr>
        <w:t xml:space="preserve">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49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en-US"/>
        </w:rPr>
        <w:t xml:space="preserve">Напомним: до принятия закона «о лесной амнистии» права на лесные участки оформлялись в упрощенном</w:t>
      </w:r>
      <w:r>
        <w:rPr>
          <w:rFonts w:ascii="Tinos" w:hAnsi="Tinos" w:eastAsia="Tinos" w:cs="Tinos"/>
          <w:sz w:val="28"/>
          <w:szCs w:val="28"/>
          <w:lang w:eastAsia="en-US"/>
        </w:rPr>
        <w:t xml:space="preserve"> </w:t>
      </w:r>
      <w:r>
        <w:rPr>
          <w:rFonts w:ascii="Tinos" w:hAnsi="Tinos" w:eastAsia="Tinos" w:cs="Tinos"/>
          <w:sz w:val="28"/>
          <w:szCs w:val="28"/>
          <w:lang w:eastAsia="en-US"/>
        </w:rPr>
        <w:t xml:space="preserve">порядке, без уточнения границ и с риском наложения земли на другие лесные или земельные участки иных</w:t>
      </w:r>
      <w:r>
        <w:rPr>
          <w:rFonts w:ascii="Tinos" w:hAnsi="Tinos" w:eastAsia="Tinos" w:cs="Tinos"/>
          <w:sz w:val="28"/>
          <w:szCs w:val="28"/>
          <w:lang w:eastAsia="en-US"/>
        </w:rPr>
        <w:t xml:space="preserve"> </w:t>
      </w:r>
      <w:r>
        <w:rPr>
          <w:rFonts w:ascii="Tinos" w:hAnsi="Tinos" w:eastAsia="Tinos" w:cs="Tinos"/>
          <w:sz w:val="28"/>
          <w:szCs w:val="28"/>
          <w:lang w:eastAsia="en-US"/>
        </w:rPr>
        <w:t xml:space="preserve">категорий земель. В итоге возникли противоречия в лесном и государственном реестре недвижимости.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color w:val="000000" w:themeColor="text1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sz w:val="28"/>
          <w:szCs w:val="28"/>
        </w:rPr>
        <w:t xml:space="preserve">Закон о «лесной амн</w:t>
      </w:r>
      <w:r>
        <w:rPr>
          <w:rFonts w:ascii="Tinos" w:hAnsi="Tinos" w:eastAsia="Tinos" w:cs="Tinos"/>
          <w:i/>
          <w:sz w:val="28"/>
          <w:szCs w:val="28"/>
        </w:rPr>
        <w:t xml:space="preserve">истии» позволяет защитить права граждан, столкнувшихся с трудностями при оформлении прав на земельные участки, которые по каким-то причинам оказались включены в состав лесного фонда. Как пра</w:t>
      </w:r>
      <w:r>
        <w:rPr>
          <w:rFonts w:ascii="Tinos" w:hAnsi="Tinos" w:eastAsia="Tinos" w:cs="Tinos"/>
          <w:i/>
          <w:color w:val="000000" w:themeColor="text1"/>
          <w:sz w:val="28"/>
          <w:szCs w:val="28"/>
        </w:rPr>
        <w:t xml:space="preserve">вило, это участки, граничащие с лесом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», - </w:t>
      </w:r>
      <w:r>
        <w:rPr>
          <w:rFonts w:ascii="Tinos" w:hAnsi="Tinos" w:eastAsia="Tinos" w:cs="Tinos"/>
          <w:sz w:val="28"/>
          <w:szCs w:val="28"/>
        </w:rPr>
        <w:t xml:space="preserve"> уточнил директор филиала ППК «</w:t>
      </w:r>
      <w:r>
        <w:rPr>
          <w:rFonts w:ascii="Tinos" w:hAnsi="Tinos" w:eastAsia="Tinos" w:cs="Tinos"/>
          <w:sz w:val="28"/>
          <w:szCs w:val="28"/>
        </w:rPr>
        <w:t xml:space="preserve">Роскадастр</w:t>
      </w:r>
      <w:r>
        <w:rPr>
          <w:rFonts w:ascii="Tinos" w:hAnsi="Tinos" w:eastAsia="Tinos" w:cs="Tinos"/>
          <w:sz w:val="28"/>
          <w:szCs w:val="28"/>
        </w:rPr>
        <w:t xml:space="preserve">» </w:t>
      </w:r>
      <w:r>
        <w:rPr>
          <w:rFonts w:ascii="Tinos" w:hAnsi="Tinos" w:eastAsia="Tinos" w:cs="Tinos"/>
          <w:b/>
          <w:sz w:val="28"/>
          <w:szCs w:val="28"/>
        </w:rPr>
        <w:t xml:space="preserve">Аюб</w:t>
      </w:r>
      <w:r>
        <w:rPr>
          <w:rFonts w:ascii="Tinos" w:hAnsi="Tinos" w:eastAsia="Tinos" w:cs="Tinos"/>
          <w:b/>
          <w:sz w:val="28"/>
          <w:szCs w:val="28"/>
        </w:rPr>
        <w:t xml:space="preserve"> </w:t>
      </w:r>
      <w:r>
        <w:rPr>
          <w:rFonts w:ascii="Tinos" w:hAnsi="Tinos" w:eastAsia="Tinos" w:cs="Tinos"/>
          <w:b/>
          <w:sz w:val="28"/>
          <w:szCs w:val="28"/>
        </w:rPr>
        <w:t xml:space="preserve">Хуако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Проверить, входит ли конкретный земельный участок в границы лесничества, можно с помощью сервиса «Публичная кадастровая карта» </w:t>
      </w:r>
      <w:r>
        <w:rPr>
          <w:rFonts w:ascii="Times New Roman" w:hAnsi="Times New Roman" w:cs="Times New Roman"/>
          <w:sz w:val="28"/>
          <w:szCs w:val="28"/>
        </w:rPr>
        <w:t xml:space="preserve">Портале пространственных данных «Национальная система пространственных данных» (https://nspd.gov.ru/). Актуальные сведения также можно получить, запросив выписку из ЕГРН на портале Госуслуг  (https://www.gosuslugi.ru/) или в офисах МФЦ.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Краснооктябрьская,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0"/>
  </w:num>
  <w:num w:numId="5">
    <w:abstractNumId w:val="7"/>
  </w:num>
  <w:num w:numId="6">
    <w:abstractNumId w:val="5"/>
  </w:num>
  <w:num w:numId="7">
    <w:abstractNumId w:val="0"/>
  </w:num>
  <w:num w:numId="8">
    <w:abstractNumId w:val="3"/>
  </w:num>
  <w:num w:numId="9">
    <w:abstractNumId w:val="1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6">
    <w:name w:val="Heading 1 Char"/>
    <w:basedOn w:val="852"/>
    <w:link w:val="850"/>
    <w:uiPriority w:val="9"/>
    <w:rPr>
      <w:rFonts w:ascii="Arial" w:hAnsi="Arial" w:eastAsia="Arial" w:cs="Arial"/>
      <w:sz w:val="40"/>
      <w:szCs w:val="40"/>
    </w:rPr>
  </w:style>
  <w:style w:type="character" w:styleId="677">
    <w:name w:val="Heading 2 Char"/>
    <w:basedOn w:val="852"/>
    <w:link w:val="851"/>
    <w:uiPriority w:val="9"/>
    <w:rPr>
      <w:rFonts w:ascii="Arial" w:hAnsi="Arial" w:eastAsia="Arial" w:cs="Arial"/>
      <w:sz w:val="34"/>
    </w:rPr>
  </w:style>
  <w:style w:type="paragraph" w:styleId="678">
    <w:name w:val="Heading 3"/>
    <w:basedOn w:val="849"/>
    <w:next w:val="849"/>
    <w:link w:val="6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9">
    <w:name w:val="Heading 3 Char"/>
    <w:basedOn w:val="852"/>
    <w:link w:val="678"/>
    <w:uiPriority w:val="9"/>
    <w:rPr>
      <w:rFonts w:ascii="Arial" w:hAnsi="Arial" w:eastAsia="Arial" w:cs="Arial"/>
      <w:sz w:val="30"/>
      <w:szCs w:val="30"/>
    </w:rPr>
  </w:style>
  <w:style w:type="paragraph" w:styleId="680">
    <w:name w:val="Heading 4"/>
    <w:basedOn w:val="849"/>
    <w:next w:val="849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1">
    <w:name w:val="Heading 4 Char"/>
    <w:basedOn w:val="852"/>
    <w:link w:val="680"/>
    <w:uiPriority w:val="9"/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849"/>
    <w:next w:val="849"/>
    <w:link w:val="6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3">
    <w:name w:val="Heading 5 Char"/>
    <w:basedOn w:val="852"/>
    <w:link w:val="682"/>
    <w:uiPriority w:val="9"/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849"/>
    <w:next w:val="849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5">
    <w:name w:val="Heading 6 Char"/>
    <w:basedOn w:val="852"/>
    <w:link w:val="684"/>
    <w:uiPriority w:val="9"/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849"/>
    <w:next w:val="849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7">
    <w:name w:val="Heading 7 Char"/>
    <w:basedOn w:val="852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849"/>
    <w:next w:val="849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9">
    <w:name w:val="Heading 8 Char"/>
    <w:basedOn w:val="852"/>
    <w:link w:val="688"/>
    <w:uiPriority w:val="9"/>
    <w:rPr>
      <w:rFonts w:ascii="Arial" w:hAnsi="Arial" w:eastAsia="Arial" w:cs="Arial"/>
      <w:i/>
      <w:iCs/>
      <w:sz w:val="22"/>
      <w:szCs w:val="22"/>
    </w:rPr>
  </w:style>
  <w:style w:type="paragraph" w:styleId="690">
    <w:name w:val="Heading 9"/>
    <w:basedOn w:val="849"/>
    <w:next w:val="849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>
    <w:name w:val="Heading 9 Char"/>
    <w:basedOn w:val="852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Title"/>
    <w:basedOn w:val="849"/>
    <w:next w:val="849"/>
    <w:link w:val="6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3">
    <w:name w:val="Title Char"/>
    <w:basedOn w:val="852"/>
    <w:link w:val="692"/>
    <w:uiPriority w:val="10"/>
    <w:rPr>
      <w:sz w:val="48"/>
      <w:szCs w:val="48"/>
    </w:rPr>
  </w:style>
  <w:style w:type="paragraph" w:styleId="694">
    <w:name w:val="Subtitle"/>
    <w:basedOn w:val="849"/>
    <w:next w:val="849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basedOn w:val="852"/>
    <w:link w:val="694"/>
    <w:uiPriority w:val="11"/>
    <w:rPr>
      <w:sz w:val="24"/>
      <w:szCs w:val="24"/>
    </w:rPr>
  </w:style>
  <w:style w:type="paragraph" w:styleId="696">
    <w:name w:val="Quote"/>
    <w:basedOn w:val="849"/>
    <w:next w:val="849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49"/>
    <w:next w:val="849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paragraph" w:styleId="700">
    <w:name w:val="Header"/>
    <w:basedOn w:val="849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Header Char"/>
    <w:basedOn w:val="852"/>
    <w:link w:val="700"/>
    <w:uiPriority w:val="99"/>
  </w:style>
  <w:style w:type="paragraph" w:styleId="702">
    <w:name w:val="Footer"/>
    <w:basedOn w:val="849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Footer Char"/>
    <w:basedOn w:val="852"/>
    <w:link w:val="702"/>
    <w:uiPriority w:val="99"/>
  </w:style>
  <w:style w:type="paragraph" w:styleId="704">
    <w:name w:val="Caption"/>
    <w:basedOn w:val="849"/>
    <w:next w:val="8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5">
    <w:name w:val="Caption Char"/>
    <w:basedOn w:val="704"/>
    <w:link w:val="702"/>
    <w:uiPriority w:val="99"/>
  </w:style>
  <w:style w:type="table" w:styleId="706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6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7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8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9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0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1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3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4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5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6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7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8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0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1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2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3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4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5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2">
    <w:name w:val="footnote text"/>
    <w:basedOn w:val="849"/>
    <w:link w:val="833"/>
    <w:uiPriority w:val="99"/>
    <w:semiHidden/>
    <w:unhideWhenUsed/>
    <w:pPr>
      <w:spacing w:after="40" w:line="240" w:lineRule="auto"/>
    </w:pPr>
    <w:rPr>
      <w:sz w:val="18"/>
    </w:rPr>
  </w:style>
  <w:style w:type="character" w:styleId="833">
    <w:name w:val="Footnote Text Char"/>
    <w:link w:val="832"/>
    <w:uiPriority w:val="99"/>
    <w:rPr>
      <w:sz w:val="18"/>
    </w:rPr>
  </w:style>
  <w:style w:type="character" w:styleId="834">
    <w:name w:val="footnote reference"/>
    <w:basedOn w:val="852"/>
    <w:uiPriority w:val="99"/>
    <w:unhideWhenUsed/>
    <w:rPr>
      <w:vertAlign w:val="superscript"/>
    </w:rPr>
  </w:style>
  <w:style w:type="paragraph" w:styleId="835">
    <w:name w:val="endnote text"/>
    <w:basedOn w:val="849"/>
    <w:link w:val="836"/>
    <w:uiPriority w:val="99"/>
    <w:semiHidden/>
    <w:unhideWhenUsed/>
    <w:pPr>
      <w:spacing w:after="0" w:line="240" w:lineRule="auto"/>
    </w:pPr>
    <w:rPr>
      <w:sz w:val="20"/>
    </w:rPr>
  </w:style>
  <w:style w:type="character" w:styleId="836">
    <w:name w:val="Endnote Text Char"/>
    <w:link w:val="835"/>
    <w:uiPriority w:val="99"/>
    <w:rPr>
      <w:sz w:val="20"/>
    </w:rPr>
  </w:style>
  <w:style w:type="character" w:styleId="837">
    <w:name w:val="endnote reference"/>
    <w:basedOn w:val="852"/>
    <w:uiPriority w:val="99"/>
    <w:semiHidden/>
    <w:unhideWhenUsed/>
    <w:rPr>
      <w:vertAlign w:val="superscript"/>
    </w:rPr>
  </w:style>
  <w:style w:type="paragraph" w:styleId="838">
    <w:name w:val="toc 1"/>
    <w:basedOn w:val="849"/>
    <w:next w:val="849"/>
    <w:uiPriority w:val="39"/>
    <w:unhideWhenUsed/>
    <w:pPr>
      <w:ind w:left="0" w:right="0" w:firstLine="0"/>
      <w:spacing w:after="57"/>
    </w:pPr>
  </w:style>
  <w:style w:type="paragraph" w:styleId="839">
    <w:name w:val="toc 2"/>
    <w:basedOn w:val="849"/>
    <w:next w:val="849"/>
    <w:uiPriority w:val="39"/>
    <w:unhideWhenUsed/>
    <w:pPr>
      <w:ind w:left="283" w:right="0" w:firstLine="0"/>
      <w:spacing w:after="57"/>
    </w:pPr>
  </w:style>
  <w:style w:type="paragraph" w:styleId="840">
    <w:name w:val="toc 3"/>
    <w:basedOn w:val="849"/>
    <w:next w:val="849"/>
    <w:uiPriority w:val="39"/>
    <w:unhideWhenUsed/>
    <w:pPr>
      <w:ind w:left="567" w:right="0" w:firstLine="0"/>
      <w:spacing w:after="57"/>
    </w:pPr>
  </w:style>
  <w:style w:type="paragraph" w:styleId="841">
    <w:name w:val="toc 4"/>
    <w:basedOn w:val="849"/>
    <w:next w:val="849"/>
    <w:uiPriority w:val="39"/>
    <w:unhideWhenUsed/>
    <w:pPr>
      <w:ind w:left="850" w:right="0" w:firstLine="0"/>
      <w:spacing w:after="57"/>
    </w:pPr>
  </w:style>
  <w:style w:type="paragraph" w:styleId="842">
    <w:name w:val="toc 5"/>
    <w:basedOn w:val="849"/>
    <w:next w:val="849"/>
    <w:uiPriority w:val="39"/>
    <w:unhideWhenUsed/>
    <w:pPr>
      <w:ind w:left="1134" w:right="0" w:firstLine="0"/>
      <w:spacing w:after="57"/>
    </w:pPr>
  </w:style>
  <w:style w:type="paragraph" w:styleId="843">
    <w:name w:val="toc 6"/>
    <w:basedOn w:val="849"/>
    <w:next w:val="849"/>
    <w:uiPriority w:val="39"/>
    <w:unhideWhenUsed/>
    <w:pPr>
      <w:ind w:left="1417" w:right="0" w:firstLine="0"/>
      <w:spacing w:after="57"/>
    </w:pPr>
  </w:style>
  <w:style w:type="paragraph" w:styleId="844">
    <w:name w:val="toc 7"/>
    <w:basedOn w:val="849"/>
    <w:next w:val="849"/>
    <w:uiPriority w:val="39"/>
    <w:unhideWhenUsed/>
    <w:pPr>
      <w:ind w:left="1701" w:right="0" w:firstLine="0"/>
      <w:spacing w:after="57"/>
    </w:pPr>
  </w:style>
  <w:style w:type="paragraph" w:styleId="845">
    <w:name w:val="toc 8"/>
    <w:basedOn w:val="849"/>
    <w:next w:val="849"/>
    <w:uiPriority w:val="39"/>
    <w:unhideWhenUsed/>
    <w:pPr>
      <w:ind w:left="1984" w:right="0" w:firstLine="0"/>
      <w:spacing w:after="57"/>
    </w:pPr>
  </w:style>
  <w:style w:type="paragraph" w:styleId="846">
    <w:name w:val="toc 9"/>
    <w:basedOn w:val="849"/>
    <w:next w:val="849"/>
    <w:uiPriority w:val="39"/>
    <w:unhideWhenUsed/>
    <w:pPr>
      <w:ind w:left="2268" w:right="0" w:firstLine="0"/>
      <w:spacing w:after="57"/>
    </w:pPr>
  </w:style>
  <w:style w:type="paragraph" w:styleId="847">
    <w:name w:val="TOC Heading"/>
    <w:uiPriority w:val="39"/>
    <w:unhideWhenUsed/>
  </w:style>
  <w:style w:type="paragraph" w:styleId="848">
    <w:name w:val="table of figures"/>
    <w:basedOn w:val="849"/>
    <w:next w:val="849"/>
    <w:uiPriority w:val="99"/>
    <w:unhideWhenUsed/>
    <w:pPr>
      <w:spacing w:after="0" w:afterAutospacing="0"/>
    </w:pPr>
  </w:style>
  <w:style w:type="paragraph" w:styleId="849" w:default="1">
    <w:name w:val="Normal"/>
    <w:qFormat/>
  </w:style>
  <w:style w:type="paragraph" w:styleId="850">
    <w:name w:val="Heading 1"/>
    <w:basedOn w:val="849"/>
    <w:next w:val="849"/>
    <w:link w:val="858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51">
    <w:name w:val="Heading 2"/>
    <w:basedOn w:val="849"/>
    <w:next w:val="849"/>
    <w:link w:val="867"/>
    <w:uiPriority w:val="9"/>
    <w:semiHidden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52" w:default="1">
    <w:name w:val="Default Paragraph Font"/>
    <w:uiPriority w:val="1"/>
    <w:semiHidden/>
    <w:unhideWhenUsed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Balloon Text"/>
    <w:basedOn w:val="849"/>
    <w:link w:val="85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6" w:customStyle="1">
    <w:name w:val="Текст выноски Знак"/>
    <w:basedOn w:val="852"/>
    <w:link w:val="855"/>
    <w:uiPriority w:val="99"/>
    <w:semiHidden/>
    <w:rPr>
      <w:rFonts w:ascii="Segoe UI" w:hAnsi="Segoe UI" w:cs="Segoe UI"/>
      <w:sz w:val="18"/>
      <w:szCs w:val="18"/>
    </w:rPr>
  </w:style>
  <w:style w:type="paragraph" w:styleId="857">
    <w:name w:val="No Spacing"/>
    <w:uiPriority w:val="1"/>
    <w:qFormat/>
    <w:pPr>
      <w:spacing w:after="0" w:line="240" w:lineRule="auto"/>
    </w:pPr>
  </w:style>
  <w:style w:type="character" w:styleId="858" w:customStyle="1">
    <w:name w:val="Заголовок 1 Знак"/>
    <w:basedOn w:val="852"/>
    <w:link w:val="850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59">
    <w:name w:val="List Paragraph"/>
    <w:basedOn w:val="849"/>
    <w:uiPriority w:val="34"/>
    <w:qFormat/>
    <w:pPr>
      <w:contextualSpacing/>
      <w:ind w:left="720"/>
      <w:spacing w:line="256" w:lineRule="auto"/>
    </w:pPr>
  </w:style>
  <w:style w:type="character" w:styleId="860">
    <w:name w:val="Hyperlink"/>
    <w:basedOn w:val="852"/>
    <w:uiPriority w:val="99"/>
    <w:unhideWhenUsed/>
    <w:rPr>
      <w:color w:val="0563c1" w:themeColor="hyperlink"/>
      <w:u w:val="single"/>
    </w:rPr>
  </w:style>
  <w:style w:type="character" w:styleId="861">
    <w:name w:val="annotation reference"/>
    <w:basedOn w:val="852"/>
    <w:uiPriority w:val="99"/>
    <w:semiHidden/>
    <w:unhideWhenUsed/>
    <w:rPr>
      <w:sz w:val="16"/>
      <w:szCs w:val="16"/>
    </w:rPr>
  </w:style>
  <w:style w:type="paragraph" w:styleId="862">
    <w:name w:val="annotation text"/>
    <w:basedOn w:val="849"/>
    <w:link w:val="863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3" w:customStyle="1">
    <w:name w:val="Текст примечания Знак"/>
    <w:basedOn w:val="852"/>
    <w:link w:val="862"/>
    <w:uiPriority w:val="99"/>
    <w:semiHidden/>
    <w:rPr>
      <w:sz w:val="20"/>
      <w:szCs w:val="20"/>
    </w:rPr>
  </w:style>
  <w:style w:type="paragraph" w:styleId="864">
    <w:name w:val="annotation subject"/>
    <w:basedOn w:val="862"/>
    <w:next w:val="862"/>
    <w:link w:val="865"/>
    <w:uiPriority w:val="99"/>
    <w:semiHidden/>
    <w:unhideWhenUsed/>
    <w:rPr>
      <w:b/>
      <w:bCs/>
    </w:rPr>
  </w:style>
  <w:style w:type="character" w:styleId="865" w:customStyle="1">
    <w:name w:val="Тема примечания Знак"/>
    <w:basedOn w:val="863"/>
    <w:link w:val="864"/>
    <w:uiPriority w:val="99"/>
    <w:semiHidden/>
    <w:rPr>
      <w:b/>
      <w:bCs/>
      <w:sz w:val="20"/>
      <w:szCs w:val="20"/>
    </w:rPr>
  </w:style>
  <w:style w:type="paragraph" w:styleId="866">
    <w:name w:val="Normal (Web)"/>
    <w:basedOn w:val="84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7" w:customStyle="1">
    <w:name w:val="Заголовок 2 Знак"/>
    <w:basedOn w:val="852"/>
    <w:link w:val="851"/>
    <w:uiPriority w:val="9"/>
    <w:semiHidden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68">
    <w:name w:val="Strong"/>
    <w:basedOn w:val="852"/>
    <w:uiPriority w:val="22"/>
    <w:qFormat/>
    <w:rPr>
      <w:b/>
      <w:bCs/>
    </w:rPr>
  </w:style>
  <w:style w:type="character" w:styleId="869">
    <w:name w:val="Emphasis"/>
    <w:basedOn w:val="85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finance.rambler.ru/person/gromova-tatyana/" TargetMode="External"/><Relationship Id="rId11" Type="http://schemas.openxmlformats.org/officeDocument/2006/relationships/hyperlink" Target="https://finance.rambler.ru/organization/rosreestr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17</cp:revision>
  <dcterms:created xsi:type="dcterms:W3CDTF">2024-03-14T07:43:00Z</dcterms:created>
  <dcterms:modified xsi:type="dcterms:W3CDTF">2025-09-23T13:44:04Z</dcterms:modified>
</cp:coreProperties>
</file>