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8"/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984211" cy="729205"/>
                <wp:effectExtent l="0" t="0" r="0" b="0"/>
                <wp:docPr id="1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Рисунок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2045546" cy="75174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56.24pt;height:57.42pt;mso-wrap-distance-left:0.00pt;mso-wrap-distance-top:0.00pt;mso-wrap-distance-right:0.00pt;mso-wrap-distance-bottom:0.00pt;" stroked="false">
                <v:path textboxrect="0,0,0,0"/>
                <v:imagedata r:id="rId9" o:title=""/>
              </v:shape>
            </w:pict>
          </mc:Fallback>
        </mc:AlternateContent>
      </w:r>
      <w:r>
        <w:t xml:space="preserve">                                                                                                                                        </w:t>
      </w:r>
      <w:r/>
    </w:p>
    <w:p>
      <w:pPr>
        <w:pStyle w:val="858"/>
      </w:pPr>
      <w:r/>
      <w:r/>
    </w:p>
    <w:p>
      <w:pPr>
        <w:pStyle w:val="858"/>
        <w:jc w:val="righ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18.09.2025.</w:t>
      </w:r>
      <w:r>
        <w:rPr>
          <w:rFonts w:ascii="Times New Roman" w:hAnsi="Times New Roman" w:cs="Times New Roman"/>
          <w:b/>
          <w:sz w:val="26"/>
          <w:szCs w:val="26"/>
        </w:rPr>
      </w:r>
      <w:r>
        <w:rPr>
          <w:rFonts w:ascii="Times New Roman" w:hAnsi="Times New Roman" w:cs="Times New Roman"/>
          <w:b/>
          <w:sz w:val="26"/>
          <w:szCs w:val="26"/>
        </w:rPr>
      </w:r>
    </w:p>
    <w:p>
      <w:pPr>
        <w:contextualSpacing/>
        <w:ind w:left="360"/>
        <w:jc w:val="center"/>
        <w:spacing w:after="200" w:line="276" w:lineRule="auto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ind w:left="0" w:right="0" w:firstLine="0"/>
        <w:jc w:val="center"/>
        <w:spacing w:before="0" w:after="0" w:line="240" w:lineRule="auto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/>
          <w:color w:val="3d4146"/>
          <w:sz w:val="28"/>
          <w:szCs w:val="28"/>
        </w:rPr>
        <w:t xml:space="preserve">Росреестр предупреждает о новых видах мошенничества с недвижимостью</w:t>
      </w:r>
      <w:r>
        <w:rPr>
          <w:rFonts w:ascii="Tinos" w:hAnsi="Tinos" w:eastAsia="Tinos" w:cs="Tinos"/>
          <w:sz w:val="28"/>
          <w:szCs w:val="28"/>
        </w:rPr>
      </w:r>
    </w:p>
    <w:p>
      <w:pPr>
        <w:ind w:left="0" w:right="0" w:firstLine="0"/>
        <w:jc w:val="center"/>
        <w:spacing w:before="0" w:after="0" w:line="240" w:lineRule="auto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292c2f"/>
          <w:sz w:val="28"/>
          <w:szCs w:val="28"/>
          <w:highlight w:val="none"/>
        </w:rPr>
      </w:r>
      <w:r>
        <w:rPr>
          <w:rFonts w:ascii="Tinos" w:hAnsi="Tinos" w:eastAsia="Tinos" w:cs="Tinos"/>
          <w:color w:val="292c2f"/>
          <w:sz w:val="28"/>
          <w:szCs w:val="28"/>
          <w:highlight w:val="none"/>
        </w:rPr>
      </w:r>
    </w:p>
    <w:p>
      <w:pPr>
        <w:ind w:left="0" w:right="0" w:firstLine="0"/>
        <w:jc w:val="both"/>
        <w:spacing w:before="0" w:after="0"/>
        <w:rPr>
          <w:rFonts w:ascii="Tinos" w:hAnsi="Tinos" w:eastAsia="Tinos" w:cs="Tinos"/>
          <w:color w:val="292c2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292c2f"/>
          <w:sz w:val="28"/>
          <w:szCs w:val="28"/>
        </w:rPr>
        <w:t xml:space="preserve">Росреестр предупреждает граждан о новом всплеске мошеннической активности. Злоумышленники под видом сотрудников ведомства пытаются получить доступ к персональным данным и средствам граждан.</w:t>
        <w:br/>
        <w:br/>
        <w:t xml:space="preserve">Атаки осуществляются через телефонные звонки, электронную почту и</w:t>
      </w:r>
      <w:r>
        <w:rPr>
          <w:rFonts w:ascii="Tinos" w:hAnsi="Tinos" w:eastAsia="Tinos" w:cs="Tinos"/>
          <w:color w:val="292c2f"/>
          <w:sz w:val="28"/>
          <w:szCs w:val="28"/>
        </w:rPr>
        <w:t xml:space="preserve"> мессенджеры. Мошенники сообщают гражданам якобы о проведении операций с их объектами недвижимости. К примеру, о продаже, залоге или аресте. Их цель — вызвать у человека панику и заставить немедленно связаться со «службой поддержки» по указанному в сообщен</w:t>
      </w:r>
      <w:r>
        <w:rPr>
          <w:rFonts w:ascii="Tinos" w:hAnsi="Tinos" w:eastAsia="Tinos" w:cs="Tinos"/>
          <w:color w:val="292c2f"/>
          <w:sz w:val="28"/>
          <w:szCs w:val="28"/>
        </w:rPr>
        <w:t xml:space="preserve">ии номеру телефона.</w:t>
        <w:br/>
        <w:br/>
        <w:t xml:space="preserve">Под видом консультантов мошенники пытаются выудить у человека конфиденциальную информацию или заставить его перевести деньги для «отмены» несуществующих операций.</w:t>
      </w:r>
      <w:r>
        <w:rPr>
          <w:rFonts w:ascii="Tinos" w:hAnsi="Tinos" w:eastAsia="Tinos" w:cs="Tinos"/>
          <w:color w:val="292c2f"/>
          <w:sz w:val="28"/>
          <w:szCs w:val="28"/>
        </w:rPr>
      </w:r>
    </w:p>
    <w:p>
      <w:pPr>
        <w:ind w:left="0" w:right="0" w:firstLine="0"/>
        <w:jc w:val="both"/>
        <w:spacing w:before="0" w:after="0"/>
        <w:rPr>
          <w:rFonts w:ascii="Tinos" w:hAnsi="Tinos" w:eastAsia="Tinos" w:cs="Tinos"/>
          <w:color w:val="292c2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292c2f"/>
          <w:sz w:val="28"/>
          <w:szCs w:val="28"/>
        </w:rPr>
        <w:br/>
      </w:r>
      <w:r>
        <w:rPr>
          <w:rFonts w:ascii="Tinos" w:hAnsi="Tinos" w:eastAsia="Tinos" w:cs="Tinos"/>
          <w:b/>
          <w:bCs/>
          <w:i/>
          <w:color w:val="292c2f"/>
          <w:sz w:val="28"/>
          <w:szCs w:val="28"/>
        </w:rPr>
        <w:t xml:space="preserve">Важно помнить</w:t>
      </w:r>
      <w:r>
        <w:rPr>
          <w:rFonts w:ascii="Tinos" w:hAnsi="Tinos" w:eastAsia="Tinos" w:cs="Tinos"/>
          <w:i/>
          <w:color w:val="292c2f"/>
          <w:sz w:val="28"/>
          <w:szCs w:val="28"/>
        </w:rPr>
        <w:t xml:space="preserve">, что</w:t>
      </w:r>
      <w:r>
        <w:rPr>
          <w:rFonts w:ascii="Tinos" w:hAnsi="Tinos" w:eastAsia="Tinos" w:cs="Tinos"/>
          <w:color w:val="292c2f"/>
          <w:sz w:val="28"/>
          <w:szCs w:val="28"/>
        </w:rPr>
        <w:t xml:space="preserve"> </w:t>
      </w:r>
      <w:r>
        <w:rPr>
          <w:rFonts w:ascii="Tinos" w:hAnsi="Tinos" w:eastAsia="Tinos" w:cs="Tinos"/>
          <w:i/>
          <w:color w:val="292c2f"/>
          <w:sz w:val="28"/>
          <w:szCs w:val="28"/>
        </w:rPr>
        <w:t xml:space="preserve">Росреестр не связывается с гражданами посредством СМС-сообщений, мессенджеров или электронной почты с предложениями перейти по ссылкам либо перезвонить по какому-то номеру телефона. В числе случаев, когда ведомство действительно может обратиться к граждани</w:t>
      </w:r>
      <w:r>
        <w:rPr>
          <w:rFonts w:ascii="Tinos" w:hAnsi="Tinos" w:eastAsia="Tinos" w:cs="Tinos"/>
          <w:i/>
          <w:color w:val="292c2f"/>
          <w:sz w:val="28"/>
          <w:szCs w:val="28"/>
        </w:rPr>
        <w:t xml:space="preserve">ну по телефону или по электронной почте, – это исключительно информационное уведомление о ходе оказания услуги, уточнения информации в рамках оказания услуги, и о результатах ее предоставления. Если вдруг вы получили сообщение, где якобы от лица Росреестра</w:t>
      </w:r>
      <w:r>
        <w:rPr>
          <w:rFonts w:ascii="Tinos" w:hAnsi="Tinos" w:eastAsia="Tinos" w:cs="Tinos"/>
          <w:i/>
          <w:color w:val="292c2f"/>
          <w:sz w:val="28"/>
          <w:szCs w:val="28"/>
        </w:rPr>
        <w:t xml:space="preserve"> вас предупреждают о каких-либо операциях с вашей недвижимостью и просят совершить ряд подозрительных действий, просим на них не реагировать, как можно быстрее удалить и сообщить о произошедшем в правоохранительные органы.</w:t>
      </w:r>
      <w:r>
        <w:rPr>
          <w:rFonts w:ascii="Tinos" w:hAnsi="Tinos" w:eastAsia="Tinos" w:cs="Tinos"/>
          <w:color w:val="292c2f"/>
          <w:sz w:val="28"/>
          <w:szCs w:val="28"/>
        </w:rPr>
        <w:br/>
        <w:br/>
        <w:t xml:space="preserve">Для защиты от кибермошенников ведомство рекомендует придерживаться ряда ключевых правил безопасности:</w:t>
      </w:r>
      <w:r>
        <w:rPr>
          <w:rFonts w:ascii="Tinos" w:hAnsi="Tinos" w:eastAsia="Tinos" w:cs="Tinos"/>
          <w:color w:val="292c2f"/>
          <w:sz w:val="28"/>
          <w:szCs w:val="28"/>
        </w:rPr>
      </w:r>
      <w:r/>
    </w:p>
    <w:p>
      <w:pPr>
        <w:ind w:left="0" w:right="0" w:firstLine="0"/>
        <w:jc w:val="both"/>
        <w:spacing w:before="0" w:after="0"/>
        <w:rPr>
          <w:rFonts w:ascii="Tinos" w:hAnsi="Tinos" w:eastAsia="Tinos" w:cs="Tinos"/>
          <w:color w:val="292c2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292c2f"/>
          <w:sz w:val="28"/>
          <w:szCs w:val="28"/>
        </w:rPr>
      </w:r>
      <w:r>
        <w:rPr>
          <w:rFonts w:ascii="Tinos" w:hAnsi="Tinos" w:eastAsia="Tinos" w:cs="Tinos"/>
          <w:color w:val="292c2f"/>
          <w:sz w:val="28"/>
          <w:szCs w:val="28"/>
        </w:rPr>
        <w:br/>
      </w:r>
      <w:r>
        <w:rPr>
          <w:rFonts w:ascii="Tinos" w:hAnsi="Tinos" w:eastAsia="Tinos" w:cs="Tinos"/>
          <w:b/>
          <w:color w:val="292c2f"/>
          <w:sz w:val="28"/>
          <w:szCs w:val="28"/>
        </w:rPr>
        <w:t xml:space="preserve">Проверяйте домен отправителя</w:t>
      </w:r>
      <w:r>
        <w:rPr>
          <w:rFonts w:ascii="Tinos" w:hAnsi="Tinos" w:eastAsia="Tinos" w:cs="Tinos"/>
          <w:color w:val="292c2f"/>
          <w:sz w:val="28"/>
          <w:szCs w:val="28"/>
        </w:rPr>
        <w:t xml:space="preserve">. Официальная переписка Росреестра ведется только с электронных адресов домена @rosreestr.ru. Письма от Росреестра с бесплатных почтовых сервисов (@mail.ru, @gmail.com, @yandex.ru) или с опечатками в названии (например, @rosrestr.ru, @rosreestrr.ru) являют</w:t>
      </w:r>
      <w:r>
        <w:rPr>
          <w:rFonts w:ascii="Tinos" w:hAnsi="Tinos" w:eastAsia="Tinos" w:cs="Tinos"/>
          <w:color w:val="292c2f"/>
          <w:sz w:val="28"/>
          <w:szCs w:val="28"/>
        </w:rPr>
        <w:t xml:space="preserve">ся фишинговыми.</w:t>
        <w:br/>
        <w:br/>
      </w:r>
      <w:r>
        <w:rPr>
          <w:rFonts w:ascii="Tinos" w:hAnsi="Tinos" w:eastAsia="Tinos" w:cs="Tinos"/>
          <w:b/>
          <w:color w:val="292c2f"/>
          <w:sz w:val="28"/>
          <w:szCs w:val="28"/>
        </w:rPr>
        <w:t xml:space="preserve">Не открывайте подозрительные вложения</w:t>
      </w:r>
      <w:r>
        <w:rPr>
          <w:rFonts w:ascii="Tinos" w:hAnsi="Tinos" w:eastAsia="Tinos" w:cs="Tinos"/>
          <w:color w:val="292c2f"/>
          <w:sz w:val="28"/>
          <w:szCs w:val="28"/>
        </w:rPr>
        <w:t xml:space="preserve">. Рекомендуется включить в настройках операционной системы отображение полных расширений файлов. Критически важно не открывать исполняемые файлы с расширениями *.ade, *.adp, *.bas, *.bat, *.chm, *.cmd, *.com, *.cpl, *.crt, *.eml, *.exe, *.hlp, *.hta, *.inf</w:t>
      </w:r>
      <w:r>
        <w:rPr>
          <w:rFonts w:ascii="Tinos" w:hAnsi="Tinos" w:eastAsia="Tinos" w:cs="Tinos"/>
          <w:color w:val="292c2f"/>
          <w:sz w:val="28"/>
          <w:szCs w:val="28"/>
        </w:rPr>
        <w:t xml:space="preserve">, *.ins, *.isp, *.jse, *.lnk, *.mdb, *.mde, *.msc, *.msi, *.msp, *.mst, *.pcd, *.pif, *.reg, *.scr, *.sct, *.shs, *.url, *.vbs, *.vbe, *.wsf, *.wsh, *.wsc.</w:t>
        <w:br/>
        <w:br/>
      </w:r>
      <w:r>
        <w:rPr>
          <w:rFonts w:ascii="Tinos" w:hAnsi="Tinos" w:eastAsia="Tinos" w:cs="Tinos"/>
          <w:b/>
          <w:color w:val="292c2f"/>
          <w:sz w:val="28"/>
          <w:szCs w:val="28"/>
        </w:rPr>
        <w:t xml:space="preserve">Немедленно удаляйте подозрительные сообщения</w:t>
      </w:r>
      <w:r>
        <w:rPr>
          <w:rFonts w:ascii="Tinos" w:hAnsi="Tinos" w:eastAsia="Tinos" w:cs="Tinos"/>
          <w:color w:val="292c2f"/>
          <w:sz w:val="28"/>
          <w:szCs w:val="28"/>
        </w:rPr>
        <w:t xml:space="preserve">. После удаления из папки «Входящие» необходимо очистить и папку «Удаленные», чтобы полностью исключить риск случайного запуска вредоносной программы.</w:t>
        <w:br/>
        <w:br/>
      </w:r>
      <w:r>
        <w:rPr>
          <w:rFonts w:ascii="Tinos" w:hAnsi="Tinos" w:eastAsia="Tinos" w:cs="Tinos"/>
          <w:b/>
          <w:color w:val="292c2f"/>
          <w:sz w:val="28"/>
          <w:szCs w:val="28"/>
        </w:rPr>
        <w:t xml:space="preserve">Не перезванивайте по указанным номерам</w:t>
      </w:r>
      <w:r>
        <w:rPr>
          <w:rFonts w:ascii="Tinos" w:hAnsi="Tinos" w:eastAsia="Tinos" w:cs="Tinos"/>
          <w:color w:val="292c2f"/>
          <w:sz w:val="28"/>
          <w:szCs w:val="28"/>
        </w:rPr>
        <w:t xml:space="preserve">. Для проверки любой полученной информации следует использовать исключительно официальные телефоны, опубликованные на сайте Росреестра </w:t>
      </w:r>
      <w:hyperlink r:id="rId10" w:tooltip="https://rosreestr.gov.ru/" w:history="1">
        <w:r>
          <w:rPr>
            <w:rStyle w:val="861"/>
            <w:rFonts w:ascii="Tinos" w:hAnsi="Tinos" w:eastAsia="Tinos" w:cs="Tinos"/>
            <w:color w:val="0000ee"/>
            <w:sz w:val="28"/>
            <w:szCs w:val="28"/>
            <w:u w:val="single"/>
          </w:rPr>
          <w:t xml:space="preserve">https://rosreestr.gov.ru</w:t>
        </w:r>
      </w:hyperlink>
      <w:r>
        <w:rPr>
          <w:rFonts w:ascii="Tinos" w:hAnsi="Tinos" w:eastAsia="Tinos" w:cs="Tinos"/>
          <w:color w:val="292c2f"/>
          <w:sz w:val="28"/>
          <w:szCs w:val="28"/>
        </w:rPr>
        <w:t xml:space="preserve">.</w:t>
      </w:r>
      <w:r>
        <w:rPr>
          <w:rFonts w:ascii="Tinos" w:hAnsi="Tinos" w:eastAsia="Tinos" w:cs="Tinos"/>
          <w:color w:val="292c2f"/>
          <w:sz w:val="28"/>
          <w:szCs w:val="28"/>
        </w:rPr>
      </w:r>
      <w:r/>
    </w:p>
    <w:p>
      <w:pPr>
        <w:ind w:left="0" w:right="0" w:firstLine="0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Roboto" w:hAnsi="Roboto" w:eastAsia="Roboto" w:cs="Roboto"/>
          <w:sz w:val="24"/>
        </w:rPr>
      </w:r>
      <w:r/>
    </w:p>
    <w:p>
      <w:pPr>
        <w:ind w:left="0" w:right="0" w:firstLine="0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Roboto" w:hAnsi="Roboto" w:eastAsia="Roboto" w:cs="Roboto"/>
          <w:sz w:val="24"/>
        </w:rPr>
      </w:r>
      <w:r/>
    </w:p>
    <w:p>
      <w:pPr>
        <w:ind w:left="0" w:right="0" w:firstLine="0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Roboto" w:hAnsi="Roboto" w:eastAsia="Roboto" w:cs="Roboto"/>
          <w:sz w:val="24"/>
        </w:rPr>
      </w:r>
      <w:r/>
    </w:p>
    <w:p>
      <w:pPr>
        <w:jc w:val="both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  <w:outlineLvl w:val="1"/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</w:r>
    </w:p>
    <w:p>
      <w:pPr>
        <w:jc w:val="both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  <w:outlineLvl w:val="1"/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</w:r>
    </w:p>
    <w:p>
      <w:pPr>
        <w:jc w:val="both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  <w:outlineLvl w:val="1"/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------------------------------------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Контакты для СМИ: nsczxb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(8772)56-02-48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01_upr@rosreestr.ru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www.rosreestr.gov.ru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385000, Майкоп, ул.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Краснооктябрьская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, д. 44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sectPr>
      <w:footnotePr/>
      <w:endnotePr/>
      <w:type w:val="nextPage"/>
      <w:pgSz w:w="11906" w:h="16838" w:orient="portrait"/>
      <w:pgMar w:top="907" w:right="851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Roboto">
    <w:panose1 w:val="02000000000000000000"/>
  </w:font>
  <w:font w:name="Tinos">
    <w:panose1 w:val="02020603050405020304"/>
  </w:font>
  <w:font w:name="Times New Roman">
    <w:panose1 w:val="020206030504050203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4">
    <w:multiLevelType w:val="hybridMultilevel"/>
    <w:lvl w:ilvl="0">
      <w:start w:val="10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  <w:b/>
        <w:color w:val="auto"/>
        <w:sz w:val="27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>
    <w:multiLevelType w:val="hybridMultilevel"/>
    <w:lvl w:ilvl="0">
      <w:start w:val="3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  <w:b/>
        <w:color w:val="auto"/>
        <w:sz w:val="27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3"/>
  </w:num>
  <w:num w:numId="3">
    <w:abstractNumId w:val="6"/>
  </w:num>
  <w:num w:numId="4">
    <w:abstractNumId w:val="11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5"/>
  </w:num>
  <w:num w:numId="10">
    <w:abstractNumId w:val="10"/>
  </w:num>
  <w:num w:numId="11">
    <w:abstractNumId w:val="2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78">
    <w:name w:val="Heading 1 Char"/>
    <w:basedOn w:val="853"/>
    <w:link w:val="852"/>
    <w:uiPriority w:val="9"/>
    <w:rPr>
      <w:rFonts w:ascii="Arial" w:hAnsi="Arial" w:eastAsia="Arial" w:cs="Arial"/>
      <w:sz w:val="40"/>
      <w:szCs w:val="40"/>
    </w:rPr>
  </w:style>
  <w:style w:type="paragraph" w:styleId="679">
    <w:name w:val="Heading 2"/>
    <w:basedOn w:val="851"/>
    <w:next w:val="851"/>
    <w:link w:val="680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80">
    <w:name w:val="Heading 2 Char"/>
    <w:basedOn w:val="853"/>
    <w:link w:val="679"/>
    <w:uiPriority w:val="9"/>
    <w:rPr>
      <w:rFonts w:ascii="Arial" w:hAnsi="Arial" w:eastAsia="Arial" w:cs="Arial"/>
      <w:sz w:val="34"/>
    </w:rPr>
  </w:style>
  <w:style w:type="paragraph" w:styleId="681">
    <w:name w:val="Heading 3"/>
    <w:basedOn w:val="851"/>
    <w:next w:val="851"/>
    <w:link w:val="682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2">
    <w:name w:val="Heading 3 Char"/>
    <w:basedOn w:val="853"/>
    <w:link w:val="681"/>
    <w:uiPriority w:val="9"/>
    <w:rPr>
      <w:rFonts w:ascii="Arial" w:hAnsi="Arial" w:eastAsia="Arial" w:cs="Arial"/>
      <w:sz w:val="30"/>
      <w:szCs w:val="30"/>
    </w:rPr>
  </w:style>
  <w:style w:type="paragraph" w:styleId="683">
    <w:name w:val="Heading 4"/>
    <w:basedOn w:val="851"/>
    <w:next w:val="851"/>
    <w:link w:val="684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4">
    <w:name w:val="Heading 4 Char"/>
    <w:basedOn w:val="853"/>
    <w:link w:val="683"/>
    <w:uiPriority w:val="9"/>
    <w:rPr>
      <w:rFonts w:ascii="Arial" w:hAnsi="Arial" w:eastAsia="Arial" w:cs="Arial"/>
      <w:b/>
      <w:bCs/>
      <w:sz w:val="26"/>
      <w:szCs w:val="26"/>
    </w:rPr>
  </w:style>
  <w:style w:type="paragraph" w:styleId="685">
    <w:name w:val="Heading 5"/>
    <w:basedOn w:val="851"/>
    <w:next w:val="851"/>
    <w:link w:val="686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6">
    <w:name w:val="Heading 5 Char"/>
    <w:basedOn w:val="853"/>
    <w:link w:val="685"/>
    <w:uiPriority w:val="9"/>
    <w:rPr>
      <w:rFonts w:ascii="Arial" w:hAnsi="Arial" w:eastAsia="Arial" w:cs="Arial"/>
      <w:b/>
      <w:bCs/>
      <w:sz w:val="24"/>
      <w:szCs w:val="24"/>
    </w:rPr>
  </w:style>
  <w:style w:type="paragraph" w:styleId="687">
    <w:name w:val="Heading 6"/>
    <w:basedOn w:val="851"/>
    <w:next w:val="851"/>
    <w:link w:val="688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8">
    <w:name w:val="Heading 6 Char"/>
    <w:basedOn w:val="853"/>
    <w:link w:val="687"/>
    <w:uiPriority w:val="9"/>
    <w:rPr>
      <w:rFonts w:ascii="Arial" w:hAnsi="Arial" w:eastAsia="Arial" w:cs="Arial"/>
      <w:b/>
      <w:bCs/>
      <w:sz w:val="22"/>
      <w:szCs w:val="22"/>
    </w:rPr>
  </w:style>
  <w:style w:type="paragraph" w:styleId="689">
    <w:name w:val="Heading 7"/>
    <w:basedOn w:val="851"/>
    <w:next w:val="851"/>
    <w:link w:val="69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0">
    <w:name w:val="Heading 7 Char"/>
    <w:basedOn w:val="853"/>
    <w:link w:val="68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1">
    <w:name w:val="Heading 8"/>
    <w:basedOn w:val="851"/>
    <w:next w:val="851"/>
    <w:link w:val="692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2">
    <w:name w:val="Heading 8 Char"/>
    <w:basedOn w:val="853"/>
    <w:link w:val="691"/>
    <w:uiPriority w:val="9"/>
    <w:rPr>
      <w:rFonts w:ascii="Arial" w:hAnsi="Arial" w:eastAsia="Arial" w:cs="Arial"/>
      <w:i/>
      <w:iCs/>
      <w:sz w:val="22"/>
      <w:szCs w:val="22"/>
    </w:rPr>
  </w:style>
  <w:style w:type="paragraph" w:styleId="693">
    <w:name w:val="Heading 9"/>
    <w:basedOn w:val="851"/>
    <w:next w:val="851"/>
    <w:link w:val="69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4">
    <w:name w:val="Heading 9 Char"/>
    <w:basedOn w:val="853"/>
    <w:link w:val="693"/>
    <w:uiPriority w:val="9"/>
    <w:rPr>
      <w:rFonts w:ascii="Arial" w:hAnsi="Arial" w:eastAsia="Arial" w:cs="Arial"/>
      <w:i/>
      <w:iCs/>
      <w:sz w:val="21"/>
      <w:szCs w:val="21"/>
    </w:rPr>
  </w:style>
  <w:style w:type="paragraph" w:styleId="695">
    <w:name w:val="Title"/>
    <w:basedOn w:val="851"/>
    <w:next w:val="851"/>
    <w:link w:val="69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6">
    <w:name w:val="Title Char"/>
    <w:basedOn w:val="853"/>
    <w:link w:val="695"/>
    <w:uiPriority w:val="10"/>
    <w:rPr>
      <w:sz w:val="48"/>
      <w:szCs w:val="48"/>
    </w:rPr>
  </w:style>
  <w:style w:type="paragraph" w:styleId="697">
    <w:name w:val="Subtitle"/>
    <w:basedOn w:val="851"/>
    <w:next w:val="851"/>
    <w:link w:val="698"/>
    <w:uiPriority w:val="11"/>
    <w:qFormat/>
    <w:pPr>
      <w:spacing w:before="200" w:after="200"/>
    </w:pPr>
    <w:rPr>
      <w:sz w:val="24"/>
      <w:szCs w:val="24"/>
    </w:rPr>
  </w:style>
  <w:style w:type="character" w:styleId="698">
    <w:name w:val="Subtitle Char"/>
    <w:basedOn w:val="853"/>
    <w:link w:val="697"/>
    <w:uiPriority w:val="11"/>
    <w:rPr>
      <w:sz w:val="24"/>
      <w:szCs w:val="24"/>
    </w:rPr>
  </w:style>
  <w:style w:type="paragraph" w:styleId="699">
    <w:name w:val="Quote"/>
    <w:basedOn w:val="851"/>
    <w:next w:val="851"/>
    <w:link w:val="700"/>
    <w:uiPriority w:val="29"/>
    <w:qFormat/>
    <w:pPr>
      <w:ind w:left="720" w:right="720"/>
    </w:pPr>
    <w:rPr>
      <w:i/>
    </w:rPr>
  </w:style>
  <w:style w:type="character" w:styleId="700">
    <w:name w:val="Quote Char"/>
    <w:link w:val="699"/>
    <w:uiPriority w:val="29"/>
    <w:rPr>
      <w:i/>
    </w:rPr>
  </w:style>
  <w:style w:type="paragraph" w:styleId="701">
    <w:name w:val="Intense Quote"/>
    <w:basedOn w:val="851"/>
    <w:next w:val="851"/>
    <w:link w:val="70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2">
    <w:name w:val="Intense Quote Char"/>
    <w:link w:val="701"/>
    <w:uiPriority w:val="30"/>
    <w:rPr>
      <w:i/>
    </w:rPr>
  </w:style>
  <w:style w:type="paragraph" w:styleId="703">
    <w:name w:val="Header"/>
    <w:basedOn w:val="851"/>
    <w:link w:val="70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4">
    <w:name w:val="Header Char"/>
    <w:basedOn w:val="853"/>
    <w:link w:val="703"/>
    <w:uiPriority w:val="99"/>
  </w:style>
  <w:style w:type="paragraph" w:styleId="705">
    <w:name w:val="Footer"/>
    <w:basedOn w:val="851"/>
    <w:link w:val="70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6">
    <w:name w:val="Footer Char"/>
    <w:basedOn w:val="853"/>
    <w:link w:val="705"/>
    <w:uiPriority w:val="99"/>
  </w:style>
  <w:style w:type="paragraph" w:styleId="707">
    <w:name w:val="Caption"/>
    <w:basedOn w:val="851"/>
    <w:next w:val="85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8">
    <w:name w:val="Caption Char"/>
    <w:basedOn w:val="707"/>
    <w:link w:val="705"/>
    <w:uiPriority w:val="99"/>
  </w:style>
  <w:style w:type="table" w:styleId="709">
    <w:name w:val="Table Grid"/>
    <w:basedOn w:val="85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0">
    <w:name w:val="Table Grid Light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1">
    <w:name w:val="Plain Table 1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2">
    <w:name w:val="Plain Table 2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3">
    <w:name w:val="Plain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4">
    <w:name w:val="Plain Table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>
    <w:name w:val="Plain Table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6">
    <w:name w:val="Grid Table 1 Light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1 Light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2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4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8">
    <w:name w:val="Grid Table 4 - Accent 1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9">
    <w:name w:val="Grid Table 4 - Accent 2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0">
    <w:name w:val="Grid Table 4 - Accent 3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1">
    <w:name w:val="Grid Table 4 - Accent 4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2">
    <w:name w:val="Grid Table 4 - Accent 5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3">
    <w:name w:val="Grid Table 4 - Accent 6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4">
    <w:name w:val="Grid Table 5 Dark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5">
    <w:name w:val="Grid Table 5 Dark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46">
    <w:name w:val="Grid Table 5 Dark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7">
    <w:name w:val="Grid Table 5 Dark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48">
    <w:name w:val="Grid Table 5 Dark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50">
    <w:name w:val="Grid Table 5 Dark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1">
    <w:name w:val="Grid Table 6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2">
    <w:name w:val="Grid Table 6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3">
    <w:name w:val="Grid Table 6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4">
    <w:name w:val="Grid Table 6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5">
    <w:name w:val="Grid Table 6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6">
    <w:name w:val="Grid Table 6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7">
    <w:name w:val="Grid Table 6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8">
    <w:name w:val="Grid Table 7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7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3">
    <w:name w:val="List Table 2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4">
    <w:name w:val="List Table 2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5">
    <w:name w:val="List Table 2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6">
    <w:name w:val="List Table 2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7">
    <w:name w:val="List Table 2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8">
    <w:name w:val="List Table 2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9">
    <w:name w:val="List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3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5 Dark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5 Dark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0">
    <w:name w:val="List Table 6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1">
    <w:name w:val="List Table 6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2">
    <w:name w:val="List Table 6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3">
    <w:name w:val="List Table 6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4">
    <w:name w:val="List Table 6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5">
    <w:name w:val="List Table 6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6">
    <w:name w:val="List Table 6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7">
    <w:name w:val="List Table 7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8">
    <w:name w:val="List Table 7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09">
    <w:name w:val="List Table 7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10">
    <w:name w:val="List Table 7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1">
    <w:name w:val="List Table 7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12">
    <w:name w:val="List Table 7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13">
    <w:name w:val="List Table 7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14">
    <w:name w:val="Lined - Accent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5">
    <w:name w:val="Lined - Accent 1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6">
    <w:name w:val="Lined - Accent 2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7">
    <w:name w:val="Lined - Accent 3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8">
    <w:name w:val="Lined - Accent 4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9">
    <w:name w:val="Lined - Accent 5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0">
    <w:name w:val="Lined - Accent 6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1">
    <w:name w:val="Bordered &amp; Lined - Accent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2">
    <w:name w:val="Bordered &amp; Lined - Accent 1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3">
    <w:name w:val="Bordered &amp; Lined - Accent 2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4">
    <w:name w:val="Bordered &amp; Lined - Accent 3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5">
    <w:name w:val="Bordered &amp; Lined - Accent 4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6">
    <w:name w:val="Bordered &amp; Lined - Accent 5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7">
    <w:name w:val="Bordered &amp; Lined - Accent 6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8">
    <w:name w:val="Bordered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9">
    <w:name w:val="Bordered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0">
    <w:name w:val="Bordered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1">
    <w:name w:val="Bordered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2">
    <w:name w:val="Bordered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3">
    <w:name w:val="Bordered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4">
    <w:name w:val="Bordered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35">
    <w:name w:val="footnote text"/>
    <w:basedOn w:val="851"/>
    <w:link w:val="836"/>
    <w:uiPriority w:val="99"/>
    <w:semiHidden/>
    <w:unhideWhenUsed/>
    <w:pPr>
      <w:spacing w:after="40" w:line="240" w:lineRule="auto"/>
    </w:pPr>
    <w:rPr>
      <w:sz w:val="18"/>
    </w:rPr>
  </w:style>
  <w:style w:type="character" w:styleId="836">
    <w:name w:val="Footnote Text Char"/>
    <w:link w:val="835"/>
    <w:uiPriority w:val="99"/>
    <w:rPr>
      <w:sz w:val="18"/>
    </w:rPr>
  </w:style>
  <w:style w:type="character" w:styleId="837">
    <w:name w:val="footnote reference"/>
    <w:basedOn w:val="853"/>
    <w:uiPriority w:val="99"/>
    <w:unhideWhenUsed/>
    <w:rPr>
      <w:vertAlign w:val="superscript"/>
    </w:rPr>
  </w:style>
  <w:style w:type="paragraph" w:styleId="838">
    <w:name w:val="endnote text"/>
    <w:basedOn w:val="851"/>
    <w:link w:val="839"/>
    <w:uiPriority w:val="99"/>
    <w:semiHidden/>
    <w:unhideWhenUsed/>
    <w:pPr>
      <w:spacing w:after="0" w:line="240" w:lineRule="auto"/>
    </w:pPr>
    <w:rPr>
      <w:sz w:val="20"/>
    </w:rPr>
  </w:style>
  <w:style w:type="character" w:styleId="839">
    <w:name w:val="Endnote Text Char"/>
    <w:link w:val="838"/>
    <w:uiPriority w:val="99"/>
    <w:rPr>
      <w:sz w:val="20"/>
    </w:rPr>
  </w:style>
  <w:style w:type="character" w:styleId="840">
    <w:name w:val="endnote reference"/>
    <w:basedOn w:val="853"/>
    <w:uiPriority w:val="99"/>
    <w:semiHidden/>
    <w:unhideWhenUsed/>
    <w:rPr>
      <w:vertAlign w:val="superscript"/>
    </w:rPr>
  </w:style>
  <w:style w:type="paragraph" w:styleId="841">
    <w:name w:val="toc 1"/>
    <w:basedOn w:val="851"/>
    <w:next w:val="851"/>
    <w:uiPriority w:val="39"/>
    <w:unhideWhenUsed/>
    <w:pPr>
      <w:ind w:left="0" w:right="0" w:firstLine="0"/>
      <w:spacing w:after="57"/>
    </w:pPr>
  </w:style>
  <w:style w:type="paragraph" w:styleId="842">
    <w:name w:val="toc 2"/>
    <w:basedOn w:val="851"/>
    <w:next w:val="851"/>
    <w:uiPriority w:val="39"/>
    <w:unhideWhenUsed/>
    <w:pPr>
      <w:ind w:left="283" w:right="0" w:firstLine="0"/>
      <w:spacing w:after="57"/>
    </w:pPr>
  </w:style>
  <w:style w:type="paragraph" w:styleId="843">
    <w:name w:val="toc 3"/>
    <w:basedOn w:val="851"/>
    <w:next w:val="851"/>
    <w:uiPriority w:val="39"/>
    <w:unhideWhenUsed/>
    <w:pPr>
      <w:ind w:left="567" w:right="0" w:firstLine="0"/>
      <w:spacing w:after="57"/>
    </w:pPr>
  </w:style>
  <w:style w:type="paragraph" w:styleId="844">
    <w:name w:val="toc 5"/>
    <w:basedOn w:val="851"/>
    <w:next w:val="851"/>
    <w:uiPriority w:val="39"/>
    <w:unhideWhenUsed/>
    <w:pPr>
      <w:ind w:left="1134" w:right="0" w:firstLine="0"/>
      <w:spacing w:after="57"/>
    </w:pPr>
  </w:style>
  <w:style w:type="paragraph" w:styleId="845">
    <w:name w:val="toc 6"/>
    <w:basedOn w:val="851"/>
    <w:next w:val="851"/>
    <w:uiPriority w:val="39"/>
    <w:unhideWhenUsed/>
    <w:pPr>
      <w:ind w:left="1417" w:right="0" w:firstLine="0"/>
      <w:spacing w:after="57"/>
    </w:pPr>
  </w:style>
  <w:style w:type="paragraph" w:styleId="846">
    <w:name w:val="toc 7"/>
    <w:basedOn w:val="851"/>
    <w:next w:val="851"/>
    <w:uiPriority w:val="39"/>
    <w:unhideWhenUsed/>
    <w:pPr>
      <w:ind w:left="1701" w:right="0" w:firstLine="0"/>
      <w:spacing w:after="57"/>
    </w:pPr>
  </w:style>
  <w:style w:type="paragraph" w:styleId="847">
    <w:name w:val="toc 8"/>
    <w:basedOn w:val="851"/>
    <w:next w:val="851"/>
    <w:uiPriority w:val="39"/>
    <w:unhideWhenUsed/>
    <w:pPr>
      <w:ind w:left="1984" w:right="0" w:firstLine="0"/>
      <w:spacing w:after="57"/>
    </w:pPr>
  </w:style>
  <w:style w:type="paragraph" w:styleId="848">
    <w:name w:val="toc 9"/>
    <w:basedOn w:val="851"/>
    <w:next w:val="851"/>
    <w:uiPriority w:val="39"/>
    <w:unhideWhenUsed/>
    <w:pPr>
      <w:ind w:left="2268" w:right="0" w:firstLine="0"/>
      <w:spacing w:after="57"/>
    </w:pPr>
  </w:style>
  <w:style w:type="paragraph" w:styleId="849">
    <w:name w:val="TOC Heading"/>
    <w:uiPriority w:val="39"/>
    <w:unhideWhenUsed/>
  </w:style>
  <w:style w:type="paragraph" w:styleId="850">
    <w:name w:val="table of figures"/>
    <w:basedOn w:val="851"/>
    <w:next w:val="851"/>
    <w:uiPriority w:val="99"/>
    <w:unhideWhenUsed/>
    <w:pPr>
      <w:spacing w:after="0" w:afterAutospacing="0"/>
    </w:pPr>
  </w:style>
  <w:style w:type="paragraph" w:styleId="851" w:default="1">
    <w:name w:val="Normal"/>
    <w:qFormat/>
  </w:style>
  <w:style w:type="paragraph" w:styleId="852">
    <w:name w:val="Heading 1"/>
    <w:basedOn w:val="851"/>
    <w:next w:val="851"/>
    <w:link w:val="859"/>
    <w:uiPriority w:val="9"/>
    <w:qFormat/>
    <w:pPr>
      <w:keepLines/>
      <w:keepNext/>
      <w:spacing w:before="240" w:after="0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853" w:default="1">
    <w:name w:val="Default Paragraph Font"/>
    <w:uiPriority w:val="1"/>
    <w:semiHidden/>
    <w:unhideWhenUsed/>
  </w:style>
  <w:style w:type="table" w:styleId="85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5" w:default="1">
    <w:name w:val="No List"/>
    <w:uiPriority w:val="99"/>
    <w:semiHidden/>
    <w:unhideWhenUsed/>
  </w:style>
  <w:style w:type="paragraph" w:styleId="856">
    <w:name w:val="Balloon Text"/>
    <w:basedOn w:val="851"/>
    <w:link w:val="857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57" w:customStyle="1">
    <w:name w:val="Текст выноски Знак"/>
    <w:basedOn w:val="853"/>
    <w:link w:val="856"/>
    <w:uiPriority w:val="99"/>
    <w:semiHidden/>
    <w:rPr>
      <w:rFonts w:ascii="Segoe UI" w:hAnsi="Segoe UI" w:cs="Segoe UI"/>
      <w:sz w:val="18"/>
      <w:szCs w:val="18"/>
    </w:rPr>
  </w:style>
  <w:style w:type="paragraph" w:styleId="858">
    <w:name w:val="No Spacing"/>
    <w:uiPriority w:val="1"/>
    <w:qFormat/>
    <w:pPr>
      <w:spacing w:after="0" w:line="240" w:lineRule="auto"/>
    </w:pPr>
  </w:style>
  <w:style w:type="character" w:styleId="859" w:customStyle="1">
    <w:name w:val="Заголовок 1 Знак"/>
    <w:basedOn w:val="853"/>
    <w:link w:val="852"/>
    <w:uiPriority w:val="9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860">
    <w:name w:val="List Paragraph"/>
    <w:basedOn w:val="851"/>
    <w:uiPriority w:val="34"/>
    <w:qFormat/>
    <w:pPr>
      <w:contextualSpacing/>
      <w:ind w:left="720"/>
      <w:spacing w:line="256" w:lineRule="auto"/>
    </w:pPr>
  </w:style>
  <w:style w:type="character" w:styleId="861">
    <w:name w:val="Hyperlink"/>
    <w:basedOn w:val="853"/>
    <w:uiPriority w:val="99"/>
    <w:unhideWhenUsed/>
    <w:rPr>
      <w:color w:val="0563c1" w:themeColor="hyperlink"/>
      <w:u w:val="single"/>
    </w:rPr>
  </w:style>
  <w:style w:type="character" w:styleId="862">
    <w:name w:val="annotation reference"/>
    <w:basedOn w:val="853"/>
    <w:uiPriority w:val="99"/>
    <w:semiHidden/>
    <w:unhideWhenUsed/>
    <w:rPr>
      <w:sz w:val="16"/>
      <w:szCs w:val="16"/>
    </w:rPr>
  </w:style>
  <w:style w:type="paragraph" w:styleId="863">
    <w:name w:val="annotation text"/>
    <w:basedOn w:val="851"/>
    <w:link w:val="864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864" w:customStyle="1">
    <w:name w:val="Текст примечания Знак"/>
    <w:basedOn w:val="853"/>
    <w:link w:val="863"/>
    <w:uiPriority w:val="99"/>
    <w:semiHidden/>
    <w:rPr>
      <w:sz w:val="20"/>
      <w:szCs w:val="20"/>
    </w:rPr>
  </w:style>
  <w:style w:type="paragraph" w:styleId="865">
    <w:name w:val="annotation subject"/>
    <w:basedOn w:val="863"/>
    <w:next w:val="863"/>
    <w:link w:val="866"/>
    <w:uiPriority w:val="99"/>
    <w:semiHidden/>
    <w:unhideWhenUsed/>
    <w:rPr>
      <w:b/>
      <w:bCs/>
    </w:rPr>
  </w:style>
  <w:style w:type="character" w:styleId="866" w:customStyle="1">
    <w:name w:val="Тема примечания Знак"/>
    <w:basedOn w:val="864"/>
    <w:link w:val="865"/>
    <w:uiPriority w:val="99"/>
    <w:semiHidden/>
    <w:rPr>
      <w:b/>
      <w:bCs/>
      <w:sz w:val="20"/>
      <w:szCs w:val="20"/>
    </w:rPr>
  </w:style>
  <w:style w:type="paragraph" w:styleId="867">
    <w:name w:val="toc 4"/>
    <w:basedOn w:val="851"/>
    <w:next w:val="851"/>
    <w:link w:val="868"/>
    <w:uiPriority w:val="39"/>
    <w:semiHidden/>
    <w:unhideWhenUsed/>
    <w:pPr>
      <w:ind w:left="660"/>
      <w:spacing w:after="100"/>
    </w:pPr>
  </w:style>
  <w:style w:type="character" w:styleId="868" w:customStyle="1">
    <w:name w:val="Оглавление 4 Знак"/>
    <w:link w:val="867"/>
    <w:uiPriority w:val="39"/>
    <w:semiHidden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Relationship Id="rId10" Type="http://schemas.openxmlformats.org/officeDocument/2006/relationships/hyperlink" Target="https://rosreestr.gov.ru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Р7-Офис/2024.4.1.625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Пушкарская Диана Дмитриевна</dc:creator>
  <cp:revision>19</cp:revision>
  <dcterms:created xsi:type="dcterms:W3CDTF">2024-10-01T14:30:00Z</dcterms:created>
  <dcterms:modified xsi:type="dcterms:W3CDTF">2025-09-18T07:33:49Z</dcterms:modified>
</cp:coreProperties>
</file>