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80" w:before="8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Сайт Росреестра переехал на новое доменное имя</w:t>
      </w:r>
    </w:p>
    <w:p w14:paraId="06000000">
      <w:pPr>
        <w:spacing w:after="80" w:before="80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Уважаемые пользователи!</w:t>
      </w:r>
      <w:r>
        <w:rPr>
          <w:rFonts w:ascii="Times New Roman" w:hAnsi="Times New Roman"/>
          <w:sz w:val="28"/>
        </w:rPr>
        <w:t xml:space="preserve"> Сообщаем вам, что сайт Федеральной службы государственной регистрации, кадастра и картографии (Росреестра) переехал на новый домен - теперь он находится по адресу: </w:t>
      </w:r>
      <w:r>
        <w:rPr>
          <w:rFonts w:ascii="Times New Roman" w:hAnsi="Times New Roman"/>
          <w:color w:val="0000FF"/>
          <w:sz w:val="28"/>
        </w:rPr>
        <w:t>rosreestr.gov.ru</w:t>
      </w:r>
    </w:p>
    <w:p w14:paraId="08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Обращаем ваше внимание, что была установлена переадресация с прежнего адреса </w:t>
      </w:r>
      <w:r>
        <w:rPr>
          <w:rFonts w:ascii="Times New Roman" w:hAnsi="Times New Roman"/>
          <w:color w:val="0000FF"/>
          <w:sz w:val="28"/>
        </w:rPr>
        <w:t>rosreestr.ru</w:t>
      </w:r>
      <w:r>
        <w:rPr>
          <w:rFonts w:ascii="Times New Roman" w:hAnsi="Times New Roman"/>
          <w:sz w:val="28"/>
        </w:rPr>
        <w:t xml:space="preserve"> на новый, содержимое портала и прежние ссылки не изменились.</w:t>
      </w:r>
    </w:p>
    <w:p w14:paraId="09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Главная цель перехода на новый домен – создание устойчивой и безопасной информационно-телекоммуникационной инфраструктуры высокоскоростной передачи, реализуемой ведомством согласно национальной программе «Цифровая экономика Российской Федерации». </w:t>
      </w:r>
    </w:p>
    <w:p w14:paraId="0A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Унификация официальных сайтов федеральных органов соответствует рекомендациям Минкомсвязи России, заинтересованного в формировании единого стандарта для государственных сайтов, реализации принципов клиентоцентричности и концепции «государство как платформа». </w:t>
      </w:r>
    </w:p>
    <w:p w14:paraId="0B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Внесённые изменения позволят повысить удобство использования сайта Росреестра, работающего в интересах каждого конкретного пользователя, а также помогут совершенствованию межведомственного взаимодействия и реализации на сайте технологий электронного правительства. </w:t>
      </w:r>
    </w:p>
    <w:p w14:paraId="0C000000">
      <w:pPr>
        <w:spacing w:after="80" w:before="80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Кроме того, к концу года планируется запуск обновлённого сайта Росреестра с более удобным интерфейсом – это позволит повысить качество и скорость предоставления государственных услуг для граждан.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xtended-text__short"/>
    <w:basedOn w:val="Style_10"/>
    <w:link w:val="Style_11_ch"/>
  </w:style>
  <w:style w:styleId="Style_11_ch" w:type="character">
    <w:name w:val="extended-text__short"/>
    <w:basedOn w:val="Style_10_ch"/>
    <w:link w:val="Style_11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3"/>
    <w:next w:val="Style_1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List Paragraph"/>
    <w:basedOn w:val="Style_1"/>
    <w:link w:val="Style_14_ch"/>
    <w:pPr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1"/>
    <w:link w:val="Style_22_ch"/>
    <w:uiPriority w:val="39"/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1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1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1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Balloon Text"/>
    <w:basedOn w:val="Style_1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1_ch"/>
    <w:link w:val="Style_31"/>
    <w:rPr>
      <w:rFonts w:ascii="Tahoma" w:hAnsi="Tahoma"/>
      <w:sz w:val="1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2020-09-23T09:14:36Z</dcterms:modified>
</cp:coreProperties>
</file>