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ГАРАЖНАЯ АМНИСТИЯ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3,5 миллиона автовладельцев построили свои гаражи много лет назад (в том числе, в советское время), но по разным причинам не смогли оформить на них право собственности. А это значит, что они не могут их продать, подарить, оставить в наследство или получить компенсацию за снос, если земля под гаражом отдана под застройку.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закон должен быть принят до конца 2020 года и поможет гражданам в упрощённом порядке оформить права на гаражи и землю под ними.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требованиям должен отвечать гараж, чтобы попасть под амнистию:</w:t>
      </w:r>
    </w:p>
    <w:p w14:paraId="08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должен быть капитальной постройкой с фундаментом</w:t>
      </w:r>
    </w:p>
    <w:p w14:paraId="09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гараж должен быть построен до 31 декабря 2004 года. После этого вступил в силу новый Градостроительный кодекс, и гаражи должны были строиться по единым правилам. </w:t>
      </w:r>
    </w:p>
    <w:p w14:paraId="0A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гараж должен быть расположен на государственной или муниципальной земле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только «гаражная амнистия» начнёт работать, вам необходимо будет написать в МФЦ или местной администрации заявление о предоставлении земельного участка под гаражом и представить документы, которые подтверждают владение данным объектом.</w:t>
      </w:r>
    </w:p>
    <w:p w14:paraId="0C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extended-text__short"/>
    <w:basedOn w:val="Style_10"/>
    <w:link w:val="Style_9_ch"/>
  </w:style>
  <w:style w:styleId="Style_9_ch" w:type="character">
    <w:name w:val="extended-text__short"/>
    <w:basedOn w:val="Style_10_ch"/>
    <w:link w:val="Style_9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Normal (Web)"/>
    <w:basedOn w:val="Style_1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1_ch"/>
    <w:link w:val="Style_14"/>
    <w:rPr>
      <w:rFonts w:ascii="Times New Roman" w:hAnsi="Times New Roman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1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1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List Paragraph"/>
    <w:basedOn w:val="Style_1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2020-10-06T06:36:27Z</dcterms:modified>
</cp:coreProperties>
</file>