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8"/>
      </w:pPr>
      <w:r/>
      <w:r/>
    </w:p>
    <w:p>
      <w:pPr>
        <w:pStyle w:val="86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30.09.2025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0"/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</w:pP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«Индикаторы риска»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в работе г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осударственн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ого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 земельн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ого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 надзор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а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</w:r>
      <w:r>
        <w:rPr>
          <w:rFonts w:ascii="Times New Roman" w:hAnsi="Times New Roman" w:eastAsia="Arial Unicode MS" w:cs="Times New Roman"/>
          <w:b/>
          <w:sz w:val="28"/>
          <w:szCs w:val="28"/>
          <w:lang w:eastAsia="hi-IN" w:bidi="hi-IN"/>
        </w:rPr>
      </w:r>
    </w:p>
    <w:p>
      <w:pPr>
        <w:jc w:val="center"/>
        <w:spacing w:after="0" w:line="264" w:lineRule="auto"/>
        <w:rPr>
          <w:rFonts w:ascii="Times New Roman" w:hAnsi="Times New Roman" w:eastAsia="Calibri" w:cs="Times New Roman"/>
          <w:b/>
          <w:sz w:val="32"/>
          <w:szCs w:val="28"/>
        </w:rPr>
      </w:pPr>
      <w:r>
        <w:rPr>
          <w:rFonts w:ascii="Times New Roman" w:hAnsi="Times New Roman" w:eastAsia="Calibri" w:cs="Times New Roman"/>
          <w:b/>
          <w:sz w:val="32"/>
          <w:szCs w:val="28"/>
        </w:rPr>
      </w:r>
      <w:r>
        <w:rPr>
          <w:rFonts w:ascii="Times New Roman" w:hAnsi="Times New Roman" w:eastAsia="Calibri" w:cs="Times New Roman"/>
          <w:b/>
          <w:sz w:val="32"/>
          <w:szCs w:val="28"/>
        </w:rPr>
      </w:r>
      <w:r>
        <w:rPr>
          <w:rFonts w:ascii="Times New Roman" w:hAnsi="Times New Roman" w:eastAsia="Calibri" w:cs="Times New Roman"/>
          <w:b/>
          <w:sz w:val="32"/>
          <w:szCs w:val="28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Управление Росреестра по </w:t>
      </w: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Республике Адыгея</w:t>
      </w: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 напоминает о применении в деятельности при осуществлении мероприятий по государственному земельному надзору индикаторов риска.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hi-IN" w:bidi="hi-IN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  <w:lang w:eastAsia="hi-IN" w:bidi="hi-IN"/>
        </w:rPr>
      </w: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Индикаторы риска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- это обстоятельства, факты, которые сами по себе не являются </w:t>
      </w: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до</w:t>
      </w:r>
      <w:r>
        <w:rPr>
          <w:rFonts w:ascii="Tinos" w:hAnsi="Tinos" w:eastAsia="Tinos" w:cs="Tinos"/>
          <w:sz w:val="28"/>
          <w:szCs w:val="28"/>
          <w:lang w:eastAsia="hi-IN" w:bidi="hi-IN"/>
        </w:rPr>
        <w:t xml:space="preserve">казательствами нарушения требований, установленных земельным законодательством, но свидетельствуют о высокой вероятности такого нарушения и могут являться основанием для проведения внеплановой проверки при осуществлении государственного земельного надзора.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  <w:lang w:eastAsia="hi-IN" w:bidi="hi-IN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before="0" w:after="375" w:line="240" w:lineRule="auto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Итак, сигналом для проведения проверки могут служить:</w:t>
      </w:r>
      <w:r>
        <w:rPr>
          <w:rFonts w:ascii="Tinos" w:hAnsi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-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ЕГРН, на величину, превышающую значения точности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(средней квадратической погрешности) определения координат характерных точек границ земельных участков;</w:t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- отсутствие в ЕГРН сведений о правах на используемый юридическим лицом, индивидуальным предпринимателем, гражданином земельный участок;</w:t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- несоответствие использования юридическим лицом, индивидуальным предпринимателем или гражданином земельного участка виду разрешенного использования, сведения о котором содержатся в ЕГРН;</w:t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sz w:val="28"/>
          <w:szCs w:val="28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highlight w:val="none"/>
          <w14:ligatures w14:val="none"/>
        </w:rPr>
        <w:t xml:space="preserve">- 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й регистрации права собственности на такой земельный участок лица, являющегося собственником такого земельного участка;</w:t>
      </w:r>
      <w:r>
        <w:rPr>
          <w:rFonts w:ascii="Tinos" w:hAnsi="Tinos" w:eastAsia="Tinos" w:cs="Tinos"/>
          <w:sz w:val="28"/>
          <w:szCs w:val="28"/>
          <w:lang w:eastAsia="ru-RU"/>
        </w:rPr>
      </w:r>
      <w:r>
        <w:rPr>
          <w:rFonts w:ascii="Tinos" w:hAnsi="Tinos" w:eastAsia="Tinos" w:cs="Tinos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-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 </w:t>
      </w:r>
      <w:hyperlink r:id="rId10" w:tooltip="https://internet.garant.ru/#/document/12127542/entry/0" w:history="1">
        <w:r>
          <w:rPr>
            <w:rFonts w:ascii="Tinos" w:hAnsi="Tinos" w:eastAsia="Tinos" w:cs="Tinos"/>
            <w:sz w:val="28"/>
            <w:szCs w:val="28"/>
            <w:lang w:eastAsia="ru-RU"/>
          </w:rPr>
          <w:t xml:space="preserve">Федеральным законом</w:t>
        </w:r>
      </w:hyperlink>
      <w:r>
        <w:rPr>
          <w:rFonts w:ascii="Tinos" w:hAnsi="Tinos" w:eastAsia="Tinos" w:cs="Tinos"/>
          <w:sz w:val="28"/>
          <w:szCs w:val="28"/>
          <w:lang w:eastAsia="ru-RU"/>
        </w:rPr>
        <w:t xml:space="preserve"> от 24.07.2002 № 101-ФЗ «Об обороте земель сельскохозяйственного назначения»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</w:t>
      </w:r>
      <w:r>
        <w:rPr>
          <w:rFonts w:ascii="Tinos" w:hAnsi="Tinos" w:eastAsia="Tinos" w:cs="Tinos"/>
          <w:sz w:val="28"/>
          <w:szCs w:val="28"/>
          <w:lang w:eastAsia="ru-RU"/>
        </w:rPr>
        <w:t xml:space="preserve">дательства Российской Федерации.</w:t>
      </w:r>
      <w:r>
        <w:rPr>
          <w:rFonts w:ascii="Tinos" w:hAnsi="Tinos" w:cs="Tinos"/>
          <w:sz w:val="28"/>
          <w:szCs w:val="28"/>
          <w14:ligatures w14:val="none"/>
        </w:rPr>
      </w:r>
      <w:r>
        <w:rPr>
          <w:rFonts w:ascii="Tinos" w:hAnsi="Tinos" w:cs="Tinos"/>
          <w:sz w:val="28"/>
          <w:szCs w:val="28"/>
          <w14:ligatures w14:val="none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lang w:eastAsia="hi-IN" w:bidi="hi-IN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Индикаторы риска – это не только основание для проведения проверок, но также эффективная профилактическая мера для контролируемых лиц. Ознакомившись с такими индикаторами, граждане могут выявить у себя риски нарушений и своевременно принять меры, необходим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ые для соблюдения законодательства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», – отметил заместитель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Эдуард Куиз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hi-IN" w:bidi="hi-IN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br/>
      </w:r>
      <w:r>
        <w:rPr>
          <w:rFonts w:ascii="Roboto" w:hAnsi="Roboto" w:eastAsia="Roboto" w:cs="Roboto"/>
          <w:color w:val="292c2f"/>
          <w:sz w:val="21"/>
        </w:rPr>
        <w:br/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Напомним, п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еречень индикаторов риска нарушения обязательных требований при осуществлении Росреестром федерального государственного земельного контроля (надзора)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 утверждён приказом ведомства от 09.07.2021 №П/0303. Ознакомиться с ним можно на </w:t>
      </w:r>
      <w:hyperlink r:id="rId11" w:tooltip="https://rosreestr.gov.ru/activity/gosudarstvennyy-nadzor/gosudarstvennyy-zemelnyy-kontrol-nadzor/indikatory-riska-narusheniya-obyazatelnykh-trebovaniy-ispolzuemykh-dlya-osushchestvleniya-goszemnadz/" w:history="1">
        <w:r>
          <w:rPr>
            <w:rStyle w:val="871"/>
            <w:rFonts w:ascii="Tinos" w:hAnsi="Tinos" w:eastAsia="Tinos" w:cs="Tinos"/>
            <w:b w:val="0"/>
            <w:bCs w:val="0"/>
            <w:color w:val="0000ee"/>
            <w:sz w:val="28"/>
            <w:szCs w:val="28"/>
            <w:u w:val="single"/>
          </w:rPr>
          <w:t xml:space="preserve">сайте</w:t>
        </w:r>
      </w:hyperlink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 Росреестра.</w:t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Tinos" w:hAnsi="Tinos" w:eastAsia="Tinos" w:cs="Tinos"/>
          <w:b w:val="0"/>
          <w:bCs w:val="0"/>
          <w:sz w:val="28"/>
          <w:szCs w:val="28"/>
          <w:lang w:eastAsia="hi-IN" w:bidi="hi-IN"/>
        </w:rPr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 Unicode MS">
    <w:panose1 w:val="020B05060202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3"/>
    <w:link w:val="862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1"/>
    <w:next w:val="861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3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1"/>
    <w:next w:val="861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3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1"/>
    <w:next w:val="861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3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1"/>
    <w:next w:val="861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3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1"/>
    <w:next w:val="861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3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1"/>
    <w:next w:val="861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3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1"/>
    <w:next w:val="861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1"/>
    <w:next w:val="861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3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Title"/>
    <w:basedOn w:val="861"/>
    <w:next w:val="861"/>
    <w:link w:val="7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6">
    <w:name w:val="Title Char"/>
    <w:basedOn w:val="863"/>
    <w:link w:val="705"/>
    <w:uiPriority w:val="10"/>
    <w:rPr>
      <w:sz w:val="48"/>
      <w:szCs w:val="48"/>
    </w:rPr>
  </w:style>
  <w:style w:type="paragraph" w:styleId="707">
    <w:name w:val="Subtitle"/>
    <w:basedOn w:val="861"/>
    <w:next w:val="861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3"/>
    <w:link w:val="707"/>
    <w:uiPriority w:val="11"/>
    <w:rPr>
      <w:sz w:val="24"/>
      <w:szCs w:val="24"/>
    </w:rPr>
  </w:style>
  <w:style w:type="paragraph" w:styleId="709">
    <w:name w:val="Quote"/>
    <w:basedOn w:val="861"/>
    <w:next w:val="861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1"/>
    <w:next w:val="861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1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3"/>
    <w:link w:val="713"/>
    <w:uiPriority w:val="99"/>
  </w:style>
  <w:style w:type="paragraph" w:styleId="715">
    <w:name w:val="Footer"/>
    <w:basedOn w:val="861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3"/>
    <w:link w:val="715"/>
    <w:uiPriority w:val="99"/>
  </w:style>
  <w:style w:type="paragraph" w:styleId="717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717"/>
    <w:link w:val="715"/>
    <w:uiPriority w:val="99"/>
  </w:style>
  <w:style w:type="table" w:styleId="719">
    <w:name w:val="Table Grid"/>
    <w:basedOn w:val="8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9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0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1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2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3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4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6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0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3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4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5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6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7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8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1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3"/>
    <w:uiPriority w:val="99"/>
    <w:unhideWhenUsed/>
    <w:rPr>
      <w:vertAlign w:val="superscript"/>
    </w:rPr>
  </w:style>
  <w:style w:type="paragraph" w:styleId="848">
    <w:name w:val="endnote text"/>
    <w:basedOn w:val="861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3"/>
    <w:uiPriority w:val="99"/>
    <w:semiHidden/>
    <w:unhideWhenUsed/>
    <w:rPr>
      <w:vertAlign w:val="superscript"/>
    </w:rPr>
  </w:style>
  <w:style w:type="paragraph" w:styleId="851">
    <w:name w:val="toc 1"/>
    <w:basedOn w:val="861"/>
    <w:next w:val="861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1"/>
    <w:next w:val="861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1"/>
    <w:next w:val="861"/>
    <w:uiPriority w:val="39"/>
    <w:unhideWhenUsed/>
    <w:pPr>
      <w:ind w:left="567" w:right="0" w:firstLine="0"/>
      <w:spacing w:after="57"/>
    </w:pPr>
  </w:style>
  <w:style w:type="paragraph" w:styleId="854">
    <w:name w:val="toc 5"/>
    <w:basedOn w:val="861"/>
    <w:next w:val="861"/>
    <w:uiPriority w:val="39"/>
    <w:unhideWhenUsed/>
    <w:pPr>
      <w:ind w:left="1134" w:right="0" w:firstLine="0"/>
      <w:spacing w:after="57"/>
    </w:pPr>
  </w:style>
  <w:style w:type="paragraph" w:styleId="855">
    <w:name w:val="toc 6"/>
    <w:basedOn w:val="861"/>
    <w:next w:val="861"/>
    <w:uiPriority w:val="39"/>
    <w:unhideWhenUsed/>
    <w:pPr>
      <w:ind w:left="1417" w:right="0" w:firstLine="0"/>
      <w:spacing w:after="57"/>
    </w:pPr>
  </w:style>
  <w:style w:type="paragraph" w:styleId="856">
    <w:name w:val="toc 7"/>
    <w:basedOn w:val="861"/>
    <w:next w:val="861"/>
    <w:uiPriority w:val="39"/>
    <w:unhideWhenUsed/>
    <w:pPr>
      <w:ind w:left="1701" w:right="0" w:firstLine="0"/>
      <w:spacing w:after="57"/>
    </w:pPr>
  </w:style>
  <w:style w:type="paragraph" w:styleId="857">
    <w:name w:val="toc 8"/>
    <w:basedOn w:val="861"/>
    <w:next w:val="861"/>
    <w:uiPriority w:val="39"/>
    <w:unhideWhenUsed/>
    <w:pPr>
      <w:ind w:left="1984" w:right="0" w:firstLine="0"/>
      <w:spacing w:after="57"/>
    </w:pPr>
  </w:style>
  <w:style w:type="paragraph" w:styleId="858">
    <w:name w:val="toc 9"/>
    <w:basedOn w:val="861"/>
    <w:next w:val="861"/>
    <w:uiPriority w:val="39"/>
    <w:unhideWhenUsed/>
    <w:pPr>
      <w:ind w:left="2268" w:right="0" w:firstLine="0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qFormat/>
  </w:style>
  <w:style w:type="paragraph" w:styleId="862">
    <w:name w:val="Heading 1"/>
    <w:basedOn w:val="861"/>
    <w:next w:val="861"/>
    <w:link w:val="86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paragraph" w:styleId="866">
    <w:name w:val="Balloon Text"/>
    <w:basedOn w:val="861"/>
    <w:link w:val="86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7" w:customStyle="1">
    <w:name w:val="Текст выноски Знак"/>
    <w:basedOn w:val="863"/>
    <w:link w:val="866"/>
    <w:uiPriority w:val="99"/>
    <w:semiHidden/>
    <w:rPr>
      <w:rFonts w:ascii="Segoe UI" w:hAnsi="Segoe UI" w:cs="Segoe UI"/>
      <w:sz w:val="18"/>
      <w:szCs w:val="18"/>
    </w:rPr>
  </w:style>
  <w:style w:type="paragraph" w:styleId="868">
    <w:name w:val="No Spacing"/>
    <w:uiPriority w:val="1"/>
    <w:qFormat/>
    <w:pPr>
      <w:spacing w:after="0" w:line="240" w:lineRule="auto"/>
    </w:pPr>
  </w:style>
  <w:style w:type="character" w:styleId="869" w:customStyle="1">
    <w:name w:val="Заголовок 1 Знак"/>
    <w:basedOn w:val="863"/>
    <w:link w:val="86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0">
    <w:name w:val="List Paragraph"/>
    <w:basedOn w:val="861"/>
    <w:uiPriority w:val="34"/>
    <w:qFormat/>
    <w:pPr>
      <w:contextualSpacing/>
      <w:ind w:left="720"/>
      <w:spacing w:line="256" w:lineRule="auto"/>
    </w:pPr>
  </w:style>
  <w:style w:type="character" w:styleId="871">
    <w:name w:val="Hyperlink"/>
    <w:basedOn w:val="863"/>
    <w:uiPriority w:val="99"/>
    <w:unhideWhenUsed/>
    <w:rPr>
      <w:color w:val="0563c1" w:themeColor="hyperlink"/>
      <w:u w:val="single"/>
    </w:rPr>
  </w:style>
  <w:style w:type="character" w:styleId="872">
    <w:name w:val="annotation reference"/>
    <w:basedOn w:val="863"/>
    <w:uiPriority w:val="99"/>
    <w:semiHidden/>
    <w:unhideWhenUsed/>
    <w:rPr>
      <w:sz w:val="16"/>
      <w:szCs w:val="16"/>
    </w:rPr>
  </w:style>
  <w:style w:type="paragraph" w:styleId="873">
    <w:name w:val="annotation text"/>
    <w:basedOn w:val="861"/>
    <w:link w:val="87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4" w:customStyle="1">
    <w:name w:val="Текст примечания Знак"/>
    <w:basedOn w:val="863"/>
    <w:link w:val="873"/>
    <w:uiPriority w:val="99"/>
    <w:semiHidden/>
    <w:rPr>
      <w:sz w:val="20"/>
      <w:szCs w:val="20"/>
    </w:rPr>
  </w:style>
  <w:style w:type="paragraph" w:styleId="875">
    <w:name w:val="annotation subject"/>
    <w:basedOn w:val="873"/>
    <w:next w:val="873"/>
    <w:link w:val="876"/>
    <w:uiPriority w:val="99"/>
    <w:semiHidden/>
    <w:unhideWhenUsed/>
    <w:rPr>
      <w:b/>
      <w:bCs/>
    </w:rPr>
  </w:style>
  <w:style w:type="character" w:styleId="876" w:customStyle="1">
    <w:name w:val="Тема примечания Знак"/>
    <w:basedOn w:val="874"/>
    <w:link w:val="875"/>
    <w:uiPriority w:val="99"/>
    <w:semiHidden/>
    <w:rPr>
      <w:b/>
      <w:bCs/>
      <w:sz w:val="20"/>
      <w:szCs w:val="20"/>
    </w:rPr>
  </w:style>
  <w:style w:type="paragraph" w:styleId="877">
    <w:name w:val="toc 4"/>
    <w:basedOn w:val="861"/>
    <w:next w:val="861"/>
    <w:link w:val="878"/>
    <w:uiPriority w:val="39"/>
    <w:semiHidden/>
    <w:unhideWhenUsed/>
    <w:pPr>
      <w:ind w:left="660"/>
      <w:spacing w:after="100"/>
    </w:pPr>
  </w:style>
  <w:style w:type="character" w:styleId="878" w:customStyle="1">
    <w:name w:val="Оглавление 4 Знак"/>
    <w:link w:val="87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internet.garant.ru/#/document/12127542/entry/0" TargetMode="External"/><Relationship Id="rId11" Type="http://schemas.openxmlformats.org/officeDocument/2006/relationships/hyperlink" Target="https://rosreestr.gov.ru/activity/gosudarstvennyy-nadzor/gosudarstvennyy-zemelnyy-kontrol-nadzor/indikatory-riska-narusheniya-obyazatelnykh-trebovaniy-ispolzuemykh-dlya-osushchestvleniya-goszemnadz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36</cp:revision>
  <dcterms:created xsi:type="dcterms:W3CDTF">2024-10-01T14:30:00Z</dcterms:created>
  <dcterms:modified xsi:type="dcterms:W3CDTF">2025-09-29T14:18:46Z</dcterms:modified>
</cp:coreProperties>
</file>