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7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57"/>
      </w:pPr>
      <w:r/>
      <w:r/>
    </w:p>
    <w:p>
      <w:pPr>
        <w:pStyle w:val="857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10.07.2025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85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before="100" w:beforeAutospacing="1" w:after="100" w:afterAutospacing="1" w:line="240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d0d0d" w:themeColor="text1" w:themeTint="F2"/>
          <w:sz w:val="26"/>
          <w:szCs w:val="26"/>
        </w:rPr>
      </w:r>
      <w:r>
        <w:rPr>
          <w:rFonts w:ascii="Tinos" w:hAnsi="Tinos" w:eastAsia="Tinos" w:cs="Tinos"/>
          <w:b/>
          <w:bCs/>
          <w:color w:val="0d0d0d" w:themeColor="text1" w:themeTint="F2"/>
          <w:sz w:val="26"/>
          <w:szCs w:val="26"/>
        </w:rPr>
        <w:t xml:space="preserve"> Как зарегистрировать право по мировому соглашению</w:t>
      </w:r>
      <w:r/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Далеко не все граждане знают, что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н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 любой стадии судебного процесса стороны вправе заключить мировое соглашение.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Как это сделать и что нужно для того, чтобы зарегистрировать право по мировому соглашению? На вопросы отвечает главный специалист-эксперт отдела по контролю (надзору) в сфере саморегулируемых организаций, правового обеспечения Управления Росреестра по Республике Адыгея  Асиет Боджокова.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highlight w:val="none"/>
        </w:rPr>
        <w:t xml:space="preserve">Закон о регистрации (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white"/>
        </w:rPr>
        <w:t xml:space="preserve">Федеральный 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white"/>
        </w:rPr>
        <w:t xml:space="preserve">закон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white"/>
        </w:rPr>
        <w:t xml:space="preserve"> от 13 июля 2015 г. N 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white"/>
        </w:rPr>
        <w:t xml:space="preserve">218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white"/>
        </w:rPr>
        <w:t xml:space="preserve">-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white"/>
        </w:rPr>
        <w:t xml:space="preserve">ФЗ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white"/>
        </w:rPr>
        <w:t xml:space="preserve"> «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white"/>
        </w:rPr>
        <w:t xml:space="preserve">О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white"/>
        </w:rPr>
        <w:t xml:space="preserve"> государственной 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white"/>
        </w:rPr>
        <w:t xml:space="preserve">регистрации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white"/>
        </w:rPr>
        <w:t xml:space="preserve"> недвижимости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  <w:t xml:space="preserve">»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highlight w:val="none"/>
        </w:rPr>
        <w:t xml:space="preserve">) относит вступившие в законную силу судебные акты к основаниям для государственной регистрации права (п. 5 ч.2 ст.14 Закона о регистрации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).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К числу судебных актов относится, в том числе, и определение об утверждении мирового соглашения, предусматривающее возникновение или прекращение права (обременения или ограничения права) на недвижимое имущество, подлежащее государственной регистраци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и.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Мировое соглашение, заключается в письменной форме, подписывается сторонами и утверждается судом, в производстве которого находится дело.</w:t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 В таком случае иск не</w:t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 рассматривается по существу, и производство по делу прекращается.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6" w:beforeAutospacing="0" w:after="0" w:afterAutospacing="0" w:line="17" w:lineRule="atLeast"/>
        <w:shd w:val="clear" w:color="ffffff" w:fill="ffffff"/>
        <w:rPr>
          <w:rFonts w:ascii="Tinos" w:hAnsi="Tinos" w:eastAsia="Tinos" w:cs="Tinos"/>
          <w:b/>
          <w:bCs/>
          <w:color w:val="0d0d0d" w:themeColor="text1" w:themeTint="F2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Государственная регистрация прав на недвижимое имущество на основании определения об утверждении мирового соглашения носит заявительный характер, то есть  осуществляется на основании </w:t>
      </w:r>
      <w:hyperlink r:id="rId10" w:tooltip="consultantplus://offline/ref=229A2E894FFE8C945714C306A1FCB7F624F4BF84BC47611EF28256D4C1F953A626E2FE8FF7C73DBBFC4ECA94A29D59325DE79DC29BBBA50DoAF8I" w:history="1">
        <w:r>
          <w:rPr>
            <w:rStyle w:val="860"/>
            <w:rFonts w:ascii="Tinos" w:hAnsi="Tinos" w:eastAsia="Tinos" w:cs="Tinos"/>
            <w:color w:val="0d0d0d" w:themeColor="text1" w:themeTint="F2"/>
            <w:sz w:val="28"/>
            <w:szCs w:val="28"/>
            <w:u w:val="none"/>
          </w:rPr>
          <w:t xml:space="preserve">заявления</w:t>
        </w:r>
      </w:hyperlink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 и иных необходимых для государственной регистрации прав документов, представляемых заинтересованным лицом в орган регистрации прав в установленном Законом о регистрации порядке.</w:t>
      </w:r>
      <w:r>
        <w:rPr>
          <w:sz w:val="28"/>
          <w:szCs w:val="28"/>
        </w:rPr>
      </w:r>
      <w:r>
        <w:rPr>
          <w:rFonts w:ascii="Tinos" w:hAnsi="Tinos" w:eastAsia="Tinos" w:cs="Tinos"/>
          <w:b/>
          <w:bCs/>
          <w:color w:val="0d0d0d" w:themeColor="text1" w:themeTint="F2"/>
          <w:sz w:val="28"/>
          <w:szCs w:val="28"/>
        </w:rPr>
      </w:r>
    </w:p>
    <w:p>
      <w:pPr>
        <w:ind w:left="0" w:right="0" w:firstLine="0"/>
        <w:jc w:val="both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color w:val="0d0d0d" w:themeColor="text1" w:themeTint="F2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d0d0d" w:themeColor="text1" w:themeTint="F2"/>
          <w:sz w:val="28"/>
          <w:szCs w:val="28"/>
          <w:highlight w:val="none"/>
        </w:rPr>
      </w:r>
      <w:r>
        <w:rPr>
          <w:rFonts w:ascii="Tinos" w:hAnsi="Tinos" w:eastAsia="Tinos" w:cs="Tinos"/>
          <w:color w:val="0d0d0d" w:themeColor="text1" w:themeTint="F2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color w:val="0d0d0d" w:themeColor="text1" w:themeTint="F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В случае, если определением суда об утверждении мирового соглашения предусмотрено прекращение права на недвижимое имущество у одного лица и при этом предусмотрено возникновение этого права у другого лица или установлено наличие права у такого другого лица,</w:t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 государственная регистрация прав на основании такого определения суда может осуществляться по заявлению лица, у которого право возникает на основании определения суда об утверждении мирового соглашения либо право которого подтверждено этим определением. </w:t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При этом заявление лица, чье право прекращается на основании определения суда об утверждении мирового, не требуется.</w:t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</w:r>
    </w:p>
    <w:p>
      <w:pPr>
        <w:ind w:left="0" w:right="0" w:firstLine="0"/>
        <w:jc w:val="both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  <w:t xml:space="preserve">К заяв</w:t>
      </w: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  <w:t xml:space="preserve">лениям о регистрации прав прилагается:</w:t>
      </w: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</w:r>
    </w:p>
    <w:p>
      <w:pPr>
        <w:pStyle w:val="859"/>
        <w:numPr>
          <w:ilvl w:val="0"/>
          <w:numId w:val="12"/>
        </w:numPr>
        <w:ind w:right="0"/>
        <w:jc w:val="both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b w:val="0"/>
          <w:bCs w:val="0"/>
          <w:color w:val="0d0d0d" w:themeColor="text1" w:themeTint="F2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  <w:t xml:space="preserve">завер</w:t>
      </w: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  <w:t xml:space="preserve">енная судом копия определения суда об утверждении мирового соглашения с отметкой о вступлении в законную силу;</w:t>
      </w: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</w:r>
    </w:p>
    <w:p>
      <w:pPr>
        <w:pStyle w:val="859"/>
        <w:numPr>
          <w:ilvl w:val="0"/>
          <w:numId w:val="12"/>
        </w:numPr>
        <w:ind w:right="0"/>
        <w:jc w:val="both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b w:val="0"/>
          <w:bCs w:val="0"/>
          <w:color w:val="0d0d0d" w:themeColor="text1" w:themeTint="F2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  <w:t xml:space="preserve">подлинник нотариально удостоверенной доверенности представителя, если заявление подано представителем заявителя.</w:t>
      </w: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</w:r>
    </w:p>
    <w:p>
      <w:pPr>
        <w:ind w:left="0" w:right="0" w:firstLine="0"/>
        <w:jc w:val="both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  <w:t xml:space="preserve">      </w:t>
      </w: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</w:r>
    </w:p>
    <w:p>
      <w:pPr>
        <w:ind w:left="0" w:right="0" w:firstLine="0"/>
        <w:jc w:val="both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  <w:t xml:space="preserve">Лицам, у которых по миро</w:t>
      </w: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  <w:t xml:space="preserve">вому соглашению возникают права на недвижимость, следует уплатить государственную пошлину в размерах, установленных статьей 333.33 Налогового кодекса Российской Федерации</w:t>
      </w:r>
      <w:r>
        <w:rPr>
          <w:rFonts w:ascii="Tinos" w:hAnsi="Tinos" w:eastAsia="Tinos" w:cs="Tinos"/>
          <w:b/>
          <w:bCs/>
          <w:color w:val="0d0d0d" w:themeColor="text1" w:themeTint="F2"/>
          <w:sz w:val="28"/>
          <w:szCs w:val="28"/>
        </w:rPr>
        <w:t xml:space="preserve">.</w:t>
      </w:r>
      <w:r>
        <w:rPr>
          <w:rFonts w:ascii="Tinos" w:hAnsi="Tinos" w:eastAsia="Tinos" w:cs="Tinos"/>
          <w:b w:val="0"/>
          <w:bCs w:val="0"/>
          <w:color w:val="0d0d0d" w:themeColor="text1" w:themeTint="F2"/>
          <w:sz w:val="28"/>
          <w:szCs w:val="28"/>
        </w:rPr>
      </w:r>
      <w:r/>
    </w:p>
    <w:p>
      <w:pPr>
        <w:ind w:left="0" w:right="0" w:firstLine="0"/>
        <w:jc w:val="both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color w:val="0d0d0d" w:themeColor="text1" w:themeTint="F2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    </w:t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  </w:t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</w:r>
    </w:p>
    <w:p>
      <w:pPr>
        <w:ind w:left="0" w:right="0" w:firstLine="0"/>
        <w:jc w:val="both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color w:val="0d0d0d" w:themeColor="text1" w:themeTint="F2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Следует отметить,</w:t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 что документы, поданные в орган регистрации прав, должны соответствовать требованиям, установленным законодательством Российской Федерации, и отражать информацию, необходимую для государственной регистрации прав </w:t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в Едином государственном реестре недвижимости. Указанные документы должны содержать описание недвижимого имущества, вид регистрируемого права, должны быть заверены печатями, иметь надлежащие подписи сторон или определенных законодательством Российской Фед</w:t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ерации должностных лиц.</w:t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</w:r>
      <w:r/>
    </w:p>
    <w:p>
      <w:pPr>
        <w:ind w:left="0" w:right="0" w:firstLine="0"/>
        <w:jc w:val="both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color w:val="0d0d0d" w:themeColor="text1" w:themeTint="F2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     </w:t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</w:r>
    </w:p>
    <w:p>
      <w:pPr>
        <w:ind w:left="0" w:right="0" w:firstLine="0"/>
        <w:jc w:val="both"/>
        <w:spacing w:before="0" w:after="0" w:afterAutospacing="0" w:line="17" w:lineRule="atLeast"/>
        <w:shd w:val="clear" w:color="ffffff" w:fill="ffffff"/>
        <w:rPr>
          <w:rFonts w:ascii="Tinos" w:hAnsi="Tinos" w:eastAsia="Tinos" w:cs="Tinos"/>
          <w:color w:val="0d0d0d" w:themeColor="text1" w:themeTint="F2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d0d0d" w:themeColor="text1" w:themeTint="F2"/>
          <w:sz w:val="28"/>
          <w:szCs w:val="28"/>
        </w:rPr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color w:val="0d0d0d" w:themeColor="text1" w:themeTint="F2"/>
          <w:sz w:val="28"/>
          <w:szCs w:val="28"/>
        </w:rPr>
        <w:t xml:space="preserve">В случае, </w:t>
      </w:r>
      <w:r>
        <w:rPr>
          <w:rFonts w:ascii="Tinos" w:hAnsi="Tinos" w:eastAsia="Tinos" w:cs="Tinos"/>
          <w:i/>
          <w:iCs/>
          <w:color w:val="0d0d0d" w:themeColor="text1" w:themeTint="F2"/>
          <w:sz w:val="28"/>
          <w:szCs w:val="28"/>
        </w:rPr>
        <w:t xml:space="preserve">если на осуществление регистрационных действий заявителем представлено определение суда об утверждении мирового соглашения, не содержащее отметку о вступлении его в законную силу либо определение или представленные с ним документы не отвечают иным требован</w:t>
      </w:r>
      <w:r>
        <w:rPr>
          <w:rFonts w:ascii="Tinos" w:hAnsi="Tinos" w:eastAsia="Tinos" w:cs="Tinos"/>
          <w:i/>
          <w:iCs/>
          <w:color w:val="0d0d0d" w:themeColor="text1" w:themeTint="F2"/>
          <w:sz w:val="28"/>
          <w:szCs w:val="28"/>
        </w:rPr>
        <w:t xml:space="preserve">иям, установленным законодательством Российской Федерации, действия по государственной регистрации прав приостанавливаются на установленный Законом о регистрации срок до устранения причин, послуживших основанием для принятия решения о приостановлении</w:t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» – по</w:t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яснила </w:t>
      </w:r>
      <w:r>
        <w:rPr>
          <w:rFonts w:ascii="Tinos" w:hAnsi="Tinos" w:eastAsia="Tinos" w:cs="Tinos"/>
          <w:b/>
          <w:bCs/>
          <w:color w:val="0d0d0d" w:themeColor="text1" w:themeTint="F2"/>
          <w:sz w:val="28"/>
          <w:szCs w:val="28"/>
        </w:rPr>
        <w:t xml:space="preserve">Асиет Боджоков</w:t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  <w:t xml:space="preserve">а.</w:t>
      </w:r>
      <w:r>
        <w:rPr>
          <w:rFonts w:ascii="Tinos" w:hAnsi="Tinos" w:eastAsia="Tinos" w:cs="Tinos"/>
          <w:color w:val="0d0d0d" w:themeColor="text1" w:themeTint="F2"/>
          <w:sz w:val="28"/>
          <w:szCs w:val="28"/>
        </w:rPr>
      </w:r>
      <w:r/>
    </w:p>
    <w:p>
      <w:pPr>
        <w:ind w:left="0" w:right="0" w:firstLine="0"/>
        <w:jc w:val="both"/>
        <w:spacing w:before="0" w:after="0" w:afterAutospacing="0" w:line="17" w:lineRule="atLeast"/>
        <w:shd w:val="clear" w:color="ffffff" w:fill="ffffff"/>
        <w:rPr>
          <w:rFonts w:ascii="Tinos" w:hAnsi="Tinos" w:cs="Tinos"/>
          <w:color w:val="212529" w:themeColor="text1" w:themeTint="F2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d0d0d" w:themeColor="text1" w:themeTint="F2"/>
          <w:sz w:val="26"/>
          <w:szCs w:val="26"/>
          <w:highlight w:val="none"/>
        </w:rPr>
      </w:r>
      <w:r>
        <w:rPr>
          <w:rFonts w:ascii="Tinos" w:hAnsi="Tinos" w:cs="Tinos"/>
          <w:color w:val="212529" w:themeColor="text1" w:themeTint="F2"/>
          <w:sz w:val="26"/>
          <w:szCs w:val="26"/>
          <w:highlight w:val="none"/>
        </w:rPr>
      </w:r>
      <w:r>
        <w:rPr>
          <w:rFonts w:ascii="Tinos" w:hAnsi="Tinos" w:cs="Tinos"/>
          <w:color w:val="212529" w:themeColor="text1" w:themeTint="F2"/>
          <w:sz w:val="26"/>
          <w:szCs w:val="26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  <w:outlineLvl w:val="1"/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Краснооктябрьская,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0"/>
  </w:num>
  <w:num w:numId="5">
    <w:abstractNumId w:val="7"/>
  </w:num>
  <w:num w:numId="6">
    <w:abstractNumId w:val="5"/>
  </w:num>
  <w:num w:numId="7">
    <w:abstractNumId w:val="0"/>
  </w:num>
  <w:num w:numId="8">
    <w:abstractNumId w:val="3"/>
  </w:num>
  <w:num w:numId="9">
    <w:abstractNumId w:val="1"/>
  </w:num>
  <w:num w:numId="10">
    <w:abstractNumId w:val="8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6">
    <w:name w:val="Heading 1 Char"/>
    <w:basedOn w:val="852"/>
    <w:link w:val="850"/>
    <w:uiPriority w:val="9"/>
    <w:rPr>
      <w:rFonts w:ascii="Arial" w:hAnsi="Arial" w:eastAsia="Arial" w:cs="Arial"/>
      <w:sz w:val="40"/>
      <w:szCs w:val="40"/>
    </w:rPr>
  </w:style>
  <w:style w:type="character" w:styleId="677">
    <w:name w:val="Heading 2 Char"/>
    <w:basedOn w:val="852"/>
    <w:link w:val="851"/>
    <w:uiPriority w:val="9"/>
    <w:rPr>
      <w:rFonts w:ascii="Arial" w:hAnsi="Arial" w:eastAsia="Arial" w:cs="Arial"/>
      <w:sz w:val="34"/>
    </w:rPr>
  </w:style>
  <w:style w:type="paragraph" w:styleId="678">
    <w:name w:val="Heading 3"/>
    <w:basedOn w:val="849"/>
    <w:next w:val="849"/>
    <w:link w:val="6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9">
    <w:name w:val="Heading 3 Char"/>
    <w:basedOn w:val="852"/>
    <w:link w:val="678"/>
    <w:uiPriority w:val="9"/>
    <w:rPr>
      <w:rFonts w:ascii="Arial" w:hAnsi="Arial" w:eastAsia="Arial" w:cs="Arial"/>
      <w:sz w:val="30"/>
      <w:szCs w:val="30"/>
    </w:rPr>
  </w:style>
  <w:style w:type="paragraph" w:styleId="680">
    <w:name w:val="Heading 4"/>
    <w:basedOn w:val="849"/>
    <w:next w:val="849"/>
    <w:link w:val="6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1">
    <w:name w:val="Heading 4 Char"/>
    <w:basedOn w:val="852"/>
    <w:link w:val="680"/>
    <w:uiPriority w:val="9"/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849"/>
    <w:next w:val="849"/>
    <w:link w:val="68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3">
    <w:name w:val="Heading 5 Char"/>
    <w:basedOn w:val="852"/>
    <w:link w:val="682"/>
    <w:uiPriority w:val="9"/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849"/>
    <w:next w:val="849"/>
    <w:link w:val="6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5">
    <w:name w:val="Heading 6 Char"/>
    <w:basedOn w:val="852"/>
    <w:link w:val="684"/>
    <w:uiPriority w:val="9"/>
    <w:rPr>
      <w:rFonts w:ascii="Arial" w:hAnsi="Arial" w:eastAsia="Arial" w:cs="Arial"/>
      <w:b/>
      <w:bCs/>
      <w:sz w:val="22"/>
      <w:szCs w:val="22"/>
    </w:rPr>
  </w:style>
  <w:style w:type="paragraph" w:styleId="686">
    <w:name w:val="Heading 7"/>
    <w:basedOn w:val="849"/>
    <w:next w:val="849"/>
    <w:link w:val="6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7">
    <w:name w:val="Heading 7 Char"/>
    <w:basedOn w:val="852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8">
    <w:name w:val="Heading 8"/>
    <w:basedOn w:val="849"/>
    <w:next w:val="849"/>
    <w:link w:val="6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9">
    <w:name w:val="Heading 8 Char"/>
    <w:basedOn w:val="852"/>
    <w:link w:val="688"/>
    <w:uiPriority w:val="9"/>
    <w:rPr>
      <w:rFonts w:ascii="Arial" w:hAnsi="Arial" w:eastAsia="Arial" w:cs="Arial"/>
      <w:i/>
      <w:iCs/>
      <w:sz w:val="22"/>
      <w:szCs w:val="22"/>
    </w:rPr>
  </w:style>
  <w:style w:type="paragraph" w:styleId="690">
    <w:name w:val="Heading 9"/>
    <w:basedOn w:val="849"/>
    <w:next w:val="849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1">
    <w:name w:val="Heading 9 Char"/>
    <w:basedOn w:val="852"/>
    <w:link w:val="690"/>
    <w:uiPriority w:val="9"/>
    <w:rPr>
      <w:rFonts w:ascii="Arial" w:hAnsi="Arial" w:eastAsia="Arial" w:cs="Arial"/>
      <w:i/>
      <w:iCs/>
      <w:sz w:val="21"/>
      <w:szCs w:val="21"/>
    </w:rPr>
  </w:style>
  <w:style w:type="paragraph" w:styleId="692">
    <w:name w:val="Title"/>
    <w:basedOn w:val="849"/>
    <w:next w:val="849"/>
    <w:link w:val="69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3">
    <w:name w:val="Title Char"/>
    <w:basedOn w:val="852"/>
    <w:link w:val="692"/>
    <w:uiPriority w:val="10"/>
    <w:rPr>
      <w:sz w:val="48"/>
      <w:szCs w:val="48"/>
    </w:rPr>
  </w:style>
  <w:style w:type="paragraph" w:styleId="694">
    <w:name w:val="Subtitle"/>
    <w:basedOn w:val="849"/>
    <w:next w:val="849"/>
    <w:link w:val="695"/>
    <w:uiPriority w:val="11"/>
    <w:qFormat/>
    <w:pPr>
      <w:spacing w:before="200" w:after="200"/>
    </w:pPr>
    <w:rPr>
      <w:sz w:val="24"/>
      <w:szCs w:val="24"/>
    </w:rPr>
  </w:style>
  <w:style w:type="character" w:styleId="695">
    <w:name w:val="Subtitle Char"/>
    <w:basedOn w:val="852"/>
    <w:link w:val="694"/>
    <w:uiPriority w:val="11"/>
    <w:rPr>
      <w:sz w:val="24"/>
      <w:szCs w:val="24"/>
    </w:rPr>
  </w:style>
  <w:style w:type="paragraph" w:styleId="696">
    <w:name w:val="Quote"/>
    <w:basedOn w:val="849"/>
    <w:next w:val="849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849"/>
    <w:next w:val="849"/>
    <w:link w:val="6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paragraph" w:styleId="700">
    <w:name w:val="Header"/>
    <w:basedOn w:val="849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Header Char"/>
    <w:basedOn w:val="852"/>
    <w:link w:val="700"/>
    <w:uiPriority w:val="99"/>
  </w:style>
  <w:style w:type="paragraph" w:styleId="702">
    <w:name w:val="Footer"/>
    <w:basedOn w:val="849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Footer Char"/>
    <w:basedOn w:val="852"/>
    <w:link w:val="702"/>
    <w:uiPriority w:val="99"/>
  </w:style>
  <w:style w:type="paragraph" w:styleId="704">
    <w:name w:val="Caption"/>
    <w:basedOn w:val="849"/>
    <w:next w:val="8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5">
    <w:name w:val="Caption Char"/>
    <w:basedOn w:val="704"/>
    <w:link w:val="702"/>
    <w:uiPriority w:val="99"/>
  </w:style>
  <w:style w:type="table" w:styleId="706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8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6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7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8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9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0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1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3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4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5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6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7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8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0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1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2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3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4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5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2">
    <w:name w:val="footnote text"/>
    <w:basedOn w:val="849"/>
    <w:link w:val="833"/>
    <w:uiPriority w:val="99"/>
    <w:semiHidden/>
    <w:unhideWhenUsed/>
    <w:pPr>
      <w:spacing w:after="40" w:line="240" w:lineRule="auto"/>
    </w:pPr>
    <w:rPr>
      <w:sz w:val="18"/>
    </w:rPr>
  </w:style>
  <w:style w:type="character" w:styleId="833">
    <w:name w:val="Footnote Text Char"/>
    <w:link w:val="832"/>
    <w:uiPriority w:val="99"/>
    <w:rPr>
      <w:sz w:val="18"/>
    </w:rPr>
  </w:style>
  <w:style w:type="character" w:styleId="834">
    <w:name w:val="footnote reference"/>
    <w:basedOn w:val="852"/>
    <w:uiPriority w:val="99"/>
    <w:unhideWhenUsed/>
    <w:rPr>
      <w:vertAlign w:val="superscript"/>
    </w:rPr>
  </w:style>
  <w:style w:type="paragraph" w:styleId="835">
    <w:name w:val="endnote text"/>
    <w:basedOn w:val="849"/>
    <w:link w:val="836"/>
    <w:uiPriority w:val="99"/>
    <w:semiHidden/>
    <w:unhideWhenUsed/>
    <w:pPr>
      <w:spacing w:after="0" w:line="240" w:lineRule="auto"/>
    </w:pPr>
    <w:rPr>
      <w:sz w:val="20"/>
    </w:rPr>
  </w:style>
  <w:style w:type="character" w:styleId="836">
    <w:name w:val="Endnote Text Char"/>
    <w:link w:val="835"/>
    <w:uiPriority w:val="99"/>
    <w:rPr>
      <w:sz w:val="20"/>
    </w:rPr>
  </w:style>
  <w:style w:type="character" w:styleId="837">
    <w:name w:val="endnote reference"/>
    <w:basedOn w:val="852"/>
    <w:uiPriority w:val="99"/>
    <w:semiHidden/>
    <w:unhideWhenUsed/>
    <w:rPr>
      <w:vertAlign w:val="superscript"/>
    </w:rPr>
  </w:style>
  <w:style w:type="paragraph" w:styleId="838">
    <w:name w:val="toc 1"/>
    <w:basedOn w:val="849"/>
    <w:next w:val="849"/>
    <w:uiPriority w:val="39"/>
    <w:unhideWhenUsed/>
    <w:pPr>
      <w:ind w:left="0" w:right="0" w:firstLine="0"/>
      <w:spacing w:after="57"/>
    </w:pPr>
  </w:style>
  <w:style w:type="paragraph" w:styleId="839">
    <w:name w:val="toc 2"/>
    <w:basedOn w:val="849"/>
    <w:next w:val="849"/>
    <w:uiPriority w:val="39"/>
    <w:unhideWhenUsed/>
    <w:pPr>
      <w:ind w:left="283" w:right="0" w:firstLine="0"/>
      <w:spacing w:after="57"/>
    </w:pPr>
  </w:style>
  <w:style w:type="paragraph" w:styleId="840">
    <w:name w:val="toc 3"/>
    <w:basedOn w:val="849"/>
    <w:next w:val="849"/>
    <w:uiPriority w:val="39"/>
    <w:unhideWhenUsed/>
    <w:pPr>
      <w:ind w:left="567" w:right="0" w:firstLine="0"/>
      <w:spacing w:after="57"/>
    </w:pPr>
  </w:style>
  <w:style w:type="paragraph" w:styleId="841">
    <w:name w:val="toc 4"/>
    <w:basedOn w:val="849"/>
    <w:next w:val="849"/>
    <w:uiPriority w:val="39"/>
    <w:unhideWhenUsed/>
    <w:pPr>
      <w:ind w:left="850" w:right="0" w:firstLine="0"/>
      <w:spacing w:after="57"/>
    </w:pPr>
  </w:style>
  <w:style w:type="paragraph" w:styleId="842">
    <w:name w:val="toc 5"/>
    <w:basedOn w:val="849"/>
    <w:next w:val="849"/>
    <w:uiPriority w:val="39"/>
    <w:unhideWhenUsed/>
    <w:pPr>
      <w:ind w:left="1134" w:right="0" w:firstLine="0"/>
      <w:spacing w:after="57"/>
    </w:pPr>
  </w:style>
  <w:style w:type="paragraph" w:styleId="843">
    <w:name w:val="toc 6"/>
    <w:basedOn w:val="849"/>
    <w:next w:val="849"/>
    <w:uiPriority w:val="39"/>
    <w:unhideWhenUsed/>
    <w:pPr>
      <w:ind w:left="1417" w:right="0" w:firstLine="0"/>
      <w:spacing w:after="57"/>
    </w:pPr>
  </w:style>
  <w:style w:type="paragraph" w:styleId="844">
    <w:name w:val="toc 7"/>
    <w:basedOn w:val="849"/>
    <w:next w:val="849"/>
    <w:uiPriority w:val="39"/>
    <w:unhideWhenUsed/>
    <w:pPr>
      <w:ind w:left="1701" w:right="0" w:firstLine="0"/>
      <w:spacing w:after="57"/>
    </w:pPr>
  </w:style>
  <w:style w:type="paragraph" w:styleId="845">
    <w:name w:val="toc 8"/>
    <w:basedOn w:val="849"/>
    <w:next w:val="849"/>
    <w:uiPriority w:val="39"/>
    <w:unhideWhenUsed/>
    <w:pPr>
      <w:ind w:left="1984" w:right="0" w:firstLine="0"/>
      <w:spacing w:after="57"/>
    </w:pPr>
  </w:style>
  <w:style w:type="paragraph" w:styleId="846">
    <w:name w:val="toc 9"/>
    <w:basedOn w:val="849"/>
    <w:next w:val="849"/>
    <w:uiPriority w:val="39"/>
    <w:unhideWhenUsed/>
    <w:pPr>
      <w:ind w:left="2268" w:right="0" w:firstLine="0"/>
      <w:spacing w:after="57"/>
    </w:pPr>
  </w:style>
  <w:style w:type="paragraph" w:styleId="847">
    <w:name w:val="TOC Heading"/>
    <w:uiPriority w:val="39"/>
    <w:unhideWhenUsed/>
  </w:style>
  <w:style w:type="paragraph" w:styleId="848">
    <w:name w:val="table of figures"/>
    <w:basedOn w:val="849"/>
    <w:next w:val="849"/>
    <w:uiPriority w:val="99"/>
    <w:unhideWhenUsed/>
    <w:pPr>
      <w:spacing w:after="0" w:afterAutospacing="0"/>
    </w:pPr>
  </w:style>
  <w:style w:type="paragraph" w:styleId="849" w:default="1">
    <w:name w:val="Normal"/>
    <w:qFormat/>
  </w:style>
  <w:style w:type="paragraph" w:styleId="850">
    <w:name w:val="Heading 1"/>
    <w:basedOn w:val="849"/>
    <w:next w:val="849"/>
    <w:link w:val="858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51">
    <w:name w:val="Heading 2"/>
    <w:basedOn w:val="849"/>
    <w:next w:val="849"/>
    <w:link w:val="867"/>
    <w:uiPriority w:val="9"/>
    <w:semiHidden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52" w:default="1">
    <w:name w:val="Default Paragraph Font"/>
    <w:uiPriority w:val="1"/>
    <w:semiHidden/>
    <w:unhideWhenUsed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Balloon Text"/>
    <w:basedOn w:val="849"/>
    <w:link w:val="85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6" w:customStyle="1">
    <w:name w:val="Текст выноски Знак"/>
    <w:basedOn w:val="852"/>
    <w:link w:val="855"/>
    <w:uiPriority w:val="99"/>
    <w:semiHidden/>
    <w:rPr>
      <w:rFonts w:ascii="Segoe UI" w:hAnsi="Segoe UI" w:cs="Segoe UI"/>
      <w:sz w:val="18"/>
      <w:szCs w:val="18"/>
    </w:rPr>
  </w:style>
  <w:style w:type="paragraph" w:styleId="857">
    <w:name w:val="No Spacing"/>
    <w:uiPriority w:val="1"/>
    <w:qFormat/>
    <w:pPr>
      <w:spacing w:after="0" w:line="240" w:lineRule="auto"/>
    </w:pPr>
  </w:style>
  <w:style w:type="character" w:styleId="858" w:customStyle="1">
    <w:name w:val="Заголовок 1 Знак"/>
    <w:basedOn w:val="852"/>
    <w:link w:val="850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59">
    <w:name w:val="List Paragraph"/>
    <w:basedOn w:val="849"/>
    <w:uiPriority w:val="34"/>
    <w:qFormat/>
    <w:pPr>
      <w:contextualSpacing/>
      <w:ind w:left="720"/>
      <w:spacing w:line="256" w:lineRule="auto"/>
    </w:pPr>
  </w:style>
  <w:style w:type="character" w:styleId="860">
    <w:name w:val="Hyperlink"/>
    <w:basedOn w:val="852"/>
    <w:uiPriority w:val="99"/>
    <w:unhideWhenUsed/>
    <w:rPr>
      <w:color w:val="0563c1" w:themeColor="hyperlink"/>
      <w:u w:val="single"/>
    </w:rPr>
  </w:style>
  <w:style w:type="character" w:styleId="861">
    <w:name w:val="annotation reference"/>
    <w:basedOn w:val="852"/>
    <w:uiPriority w:val="99"/>
    <w:semiHidden/>
    <w:unhideWhenUsed/>
    <w:rPr>
      <w:sz w:val="16"/>
      <w:szCs w:val="16"/>
    </w:rPr>
  </w:style>
  <w:style w:type="paragraph" w:styleId="862">
    <w:name w:val="annotation text"/>
    <w:basedOn w:val="849"/>
    <w:link w:val="863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3" w:customStyle="1">
    <w:name w:val="Текст примечания Знак"/>
    <w:basedOn w:val="852"/>
    <w:link w:val="862"/>
    <w:uiPriority w:val="99"/>
    <w:semiHidden/>
    <w:rPr>
      <w:sz w:val="20"/>
      <w:szCs w:val="20"/>
    </w:rPr>
  </w:style>
  <w:style w:type="paragraph" w:styleId="864">
    <w:name w:val="annotation subject"/>
    <w:basedOn w:val="862"/>
    <w:next w:val="862"/>
    <w:link w:val="865"/>
    <w:uiPriority w:val="99"/>
    <w:semiHidden/>
    <w:unhideWhenUsed/>
    <w:rPr>
      <w:b/>
      <w:bCs/>
    </w:rPr>
  </w:style>
  <w:style w:type="character" w:styleId="865" w:customStyle="1">
    <w:name w:val="Тема примечания Знак"/>
    <w:basedOn w:val="863"/>
    <w:link w:val="864"/>
    <w:uiPriority w:val="99"/>
    <w:semiHidden/>
    <w:rPr>
      <w:b/>
      <w:bCs/>
      <w:sz w:val="20"/>
      <w:szCs w:val="20"/>
    </w:rPr>
  </w:style>
  <w:style w:type="paragraph" w:styleId="866">
    <w:name w:val="Normal (Web)"/>
    <w:basedOn w:val="84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7" w:customStyle="1">
    <w:name w:val="Заголовок 2 Знак"/>
    <w:basedOn w:val="852"/>
    <w:link w:val="851"/>
    <w:uiPriority w:val="9"/>
    <w:semiHidden/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68">
    <w:name w:val="Strong"/>
    <w:basedOn w:val="852"/>
    <w:uiPriority w:val="22"/>
    <w:qFormat/>
    <w:rPr>
      <w:b/>
      <w:bCs/>
    </w:rPr>
  </w:style>
  <w:style w:type="character" w:styleId="869">
    <w:name w:val="Emphasis"/>
    <w:basedOn w:val="85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consultantplus://offline/ref=229A2E894FFE8C945714C306A1FCB7F624F4BF84BC47611EF28256D4C1F953A626E2FE8FF7C73DBBFC4ECA94A29D59325DE79DC29BBBA50DoAF8I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15</cp:revision>
  <dcterms:created xsi:type="dcterms:W3CDTF">2024-02-16T07:59:00Z</dcterms:created>
  <dcterms:modified xsi:type="dcterms:W3CDTF">2025-07-10T09:27:33Z</dcterms:modified>
</cp:coreProperties>
</file>