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6"/>
      </w:pPr>
      <w:r/>
      <w:r/>
    </w:p>
    <w:p>
      <w:pPr>
        <w:pStyle w:val="866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26.09.2025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7"/>
          <w:szCs w:val="27"/>
        </w:rPr>
        <w:t xml:space="preserve">Вопрос-ответ: как перевести садовый дом в жилой для участия в программе социальной догазификации?</w:t>
      </w:r>
      <w:r>
        <w:rPr>
          <w:rFonts w:ascii="Tinos" w:hAnsi="Tinos" w:eastAsia="Tinos" w:cs="Tinos"/>
          <w:sz w:val="27"/>
          <w:szCs w:val="27"/>
        </w:rPr>
      </w:r>
    </w:p>
    <w:p>
      <w:pPr>
        <w:ind w:left="0" w:right="0" w:firstLine="0"/>
        <w:jc w:val="both"/>
        <w:spacing w:before="240" w:after="0" w:line="384" w:lineRule="atLeast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68981a"/>
          <w:sz w:val="27"/>
          <w:szCs w:val="27"/>
        </w:rPr>
      </w:r>
      <w:r>
        <w:rPr>
          <w:rFonts w:ascii="Tinos" w:hAnsi="Tinos" w:eastAsia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Росреестр продолжает публиковать материалы, посвященные разъяснению актуальных вопросов в сфере земли и недвижимости. </w:t>
        <w:br/>
        <w:br/>
        <w:t xml:space="preserve">Одним из таких вопросов, несмотря на окончание дачного сезона, продолжает оставаться перевод садового дома в жилой. Его актуальность в н</w:t>
      </w:r>
      <w:r>
        <w:rPr>
          <w:rFonts w:ascii="Tinos" w:hAnsi="Tinos" w:eastAsia="Tinos" w:cs="Tinos"/>
          <w:color w:val="292c2f"/>
          <w:sz w:val="27"/>
          <w:szCs w:val="27"/>
        </w:rPr>
        <w:t xml:space="preserve">емалой степени связана с реализацией в нашей стране программы социальной догазификации СНТ, поскольку участвовать в программе могут только собственники жилых домов.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Сегодня подробно расскажем, как перевести садовый дом в жилой и что для этого потребуется.</w:t>
      </w:r>
      <w:r>
        <w:rPr>
          <w:rFonts w:ascii="Tinos" w:hAnsi="Tinos" w:eastAsia="Tinos" w:cs="Tinos"/>
          <w:color w:val="292c2f"/>
          <w:sz w:val="27"/>
          <w:szCs w:val="27"/>
        </w:rPr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b/>
          <w:bCs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</w:r>
      <w:r>
        <w:rPr>
          <w:rFonts w:ascii="Tinos" w:hAnsi="Tinos" w:eastAsia="Tinos" w:cs="Tinos"/>
          <w:b/>
          <w:color w:val="292c2f"/>
          <w:sz w:val="27"/>
          <w:szCs w:val="27"/>
        </w:rPr>
        <w:t xml:space="preserve">Этап 1: Подготовка дома к экспертизе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7"/>
          <w:szCs w:val="27"/>
        </w:rPr>
        <w:br/>
      </w:r>
      <w:r>
        <w:rPr>
          <w:rFonts w:ascii="Tinos" w:hAnsi="Tinos" w:eastAsia="Tinos" w:cs="Tinos"/>
          <w:color w:val="292c2f"/>
          <w:sz w:val="27"/>
          <w:szCs w:val="27"/>
        </w:rPr>
        <w:t xml:space="preserve">Чтобы дом стал жилым, он должен соответствовать комплексу требований, включая электроснабжение, холодное и горячее водоснабжение, канализацию, систему отопления и вентиляции.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Соответственно, на начальном этапе необходимо убедиться, что дом соответствует в</w:t>
      </w:r>
      <w:r>
        <w:rPr>
          <w:rFonts w:ascii="Tinos" w:hAnsi="Tinos" w:eastAsia="Tinos" w:cs="Tinos"/>
          <w:color w:val="292c2f"/>
          <w:sz w:val="27"/>
          <w:szCs w:val="27"/>
        </w:rPr>
        <w:t xml:space="preserve">сем нормам.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b/>
          <w:bCs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Ещё один важный момент – нужно удостовериться, что земельный участок под домом не входит в зону с особыми условиями использования территории, а его вид разрешенного использования допускает размещение жилого дома.</w:t>
        <w:br/>
        <w:br/>
      </w:r>
      <w:r>
        <w:rPr>
          <w:rFonts w:ascii="Tinos" w:hAnsi="Tinos" w:eastAsia="Tinos" w:cs="Tinos"/>
          <w:b/>
          <w:color w:val="292c2f"/>
          <w:sz w:val="27"/>
          <w:szCs w:val="27"/>
        </w:rPr>
        <w:t xml:space="preserve">Этап 2: Получение технического заключения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7"/>
          <w:szCs w:val="27"/>
        </w:rPr>
        <w:br/>
      </w:r>
      <w:r>
        <w:rPr>
          <w:rFonts w:ascii="Tinos" w:hAnsi="Tinos" w:eastAsia="Tinos" w:cs="Tinos"/>
          <w:color w:val="292c2f"/>
          <w:sz w:val="27"/>
          <w:szCs w:val="27"/>
        </w:rPr>
        <w:t xml:space="preserve">Следующий шаг - заказать заключение по обследованию технического состояния объекта, подтверждающее соответствие садового дома требованиям надежности и безопасности.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Такое заключение готовит специалист в области инженерных изысканий, являющийся членом само</w:t>
      </w:r>
      <w:r>
        <w:rPr>
          <w:rFonts w:ascii="Tinos" w:hAnsi="Tinos" w:eastAsia="Tinos" w:cs="Tinos"/>
          <w:color w:val="292c2f"/>
          <w:sz w:val="27"/>
          <w:szCs w:val="27"/>
        </w:rPr>
        <w:t xml:space="preserve">регулируемой организации (СРО).</w:t>
        <w:br/>
      </w:r>
      <w:r>
        <w:rPr>
          <w:rFonts w:ascii="Tinos" w:hAnsi="Tinos" w:eastAsia="Tinos" w:cs="Tinos"/>
          <w:b/>
          <w:bCs/>
          <w:color w:val="292c2f"/>
          <w:sz w:val="27"/>
          <w:szCs w:val="27"/>
        </w:rPr>
        <w:t xml:space="preserve">Этап 3: Подача заявления о переводе в уполномоченный орган</w:t>
        <w:br/>
      </w: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Как только будет получено положительное заключение специалиста, можно обращаться в уполномоченный орган власти по местонахождению дома. Как правило, это местная ад</w:t>
      </w:r>
      <w:r>
        <w:rPr>
          <w:rFonts w:ascii="Tinos" w:hAnsi="Tinos" w:eastAsia="Tinos" w:cs="Tinos"/>
          <w:color w:val="292c2f"/>
          <w:sz w:val="27"/>
          <w:szCs w:val="27"/>
        </w:rPr>
        <w:t xml:space="preserve">министрация.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Форму заявления и способы его подачи необходимо уточнить в органах местного самоуправления.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br/>
        <w:t xml:space="preserve">В любом случае в заявлении необходимо будет указать:</w:t>
        <w:br/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8"/>
        <w:numPr>
          <w:ilvl w:val="0"/>
          <w:numId w:val="17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кадастровый номер садового дома и земельного участка, на котором он расположен;</w:t>
      </w:r>
      <w:r>
        <w:rPr>
          <w:rFonts w:ascii="Tinos" w:hAnsi="Tinos" w:eastAsia="Tinos" w:cs="Tinos"/>
          <w:sz w:val="27"/>
          <w:szCs w:val="27"/>
        </w:rPr>
      </w:r>
    </w:p>
    <w:p>
      <w:pPr>
        <w:pStyle w:val="868"/>
        <w:numPr>
          <w:ilvl w:val="0"/>
          <w:numId w:val="18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почтовый или электронный адрес заявителя, а также предпочтительный способ получения обратной связи (по почте, по электронной почте, лично в МФЦ, лично в администрации).</w:t>
      </w:r>
      <w:r>
        <w:rPr>
          <w:rFonts w:ascii="Tinos" w:hAnsi="Tinos" w:eastAsia="Tinos" w:cs="Tinos"/>
          <w:sz w:val="27"/>
          <w:szCs w:val="27"/>
        </w:rPr>
      </w:r>
    </w:p>
    <w:p>
      <w:pPr>
        <w:ind w:left="0" w:right="0" w:firstLine="0"/>
        <w:jc w:val="both"/>
        <w:spacing w:before="240" w:after="0"/>
        <w:rPr>
          <w:rFonts w:ascii="Tinos" w:hAnsi="Tinos" w:eastAsia="Tinos" w:cs="Tinos"/>
          <w:color w:val="292c2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7"/>
          <w:szCs w:val="27"/>
        </w:rPr>
        <w:br/>
      </w:r>
      <w:r>
        <w:rPr>
          <w:rFonts w:ascii="Tinos" w:hAnsi="Tinos" w:eastAsia="Tinos" w:cs="Tinos"/>
          <w:color w:val="292c2f"/>
          <w:sz w:val="27"/>
          <w:szCs w:val="27"/>
        </w:rPr>
        <w:t xml:space="preserve">К заявлению следует приложить полученное техническое заключение.</w:t>
        <w:br/>
        <w:br/>
      </w:r>
      <w:r>
        <w:rPr>
          <w:rFonts w:ascii="Tinos" w:hAnsi="Tinos" w:eastAsia="Tinos" w:cs="Tinos"/>
          <w:b/>
          <w:color w:val="292c2f"/>
          <w:sz w:val="27"/>
          <w:szCs w:val="27"/>
        </w:rPr>
        <w:t xml:space="preserve">Этап 4: Получение решения органа местного самоуправления</w:t>
        <w:br/>
        <w:br/>
      </w:r>
      <w:r>
        <w:rPr>
          <w:rFonts w:ascii="Tinos" w:hAnsi="Tinos" w:eastAsia="Tinos" w:cs="Tinos"/>
          <w:color w:val="292c2f"/>
          <w:sz w:val="27"/>
          <w:szCs w:val="27"/>
        </w:rPr>
        <w:t xml:space="preserve">В течение 45 календарных дней местная администрация должна принять решение, разрешить ли перевод садового дома в жилой либо отказать в этом.</w:t>
        <w:br/>
        <w:br/>
        <w:t xml:space="preserve">Отказ в переводе допускается в следующих случаях:</w:t>
      </w:r>
      <w:r>
        <w:rPr>
          <w:rFonts w:ascii="Tinos" w:hAnsi="Tinos" w:cs="Tinos"/>
          <w:sz w:val="27"/>
          <w:szCs w:val="27"/>
        </w:rPr>
      </w:r>
    </w:p>
    <w:p>
      <w:pPr>
        <w:ind w:left="0" w:right="0" w:firstLine="0"/>
        <w:jc w:val="both"/>
        <w:spacing w:before="24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7"/>
          <w:szCs w:val="27"/>
        </w:rPr>
      </w:r>
      <w:r>
        <w:rPr>
          <w:sz w:val="27"/>
          <w:szCs w:val="27"/>
        </w:rPr>
      </w:r>
    </w:p>
    <w:p>
      <w:pPr>
        <w:pStyle w:val="868"/>
        <w:numPr>
          <w:ilvl w:val="0"/>
          <w:numId w:val="19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заявитель представил неполный или некорректный пакет документов;</w:t>
      </w:r>
      <w:r>
        <w:rPr>
          <w:rFonts w:ascii="Tinos" w:hAnsi="Tinos" w:eastAsia="Tinos" w:cs="Tinos"/>
          <w:sz w:val="27"/>
          <w:szCs w:val="27"/>
        </w:rPr>
      </w:r>
    </w:p>
    <w:p>
      <w:pPr>
        <w:pStyle w:val="868"/>
        <w:numPr>
          <w:ilvl w:val="0"/>
          <w:numId w:val="20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заявитель не является собственником садового дома;</w:t>
      </w:r>
      <w:r>
        <w:rPr>
          <w:rFonts w:ascii="Tinos" w:hAnsi="Tinos" w:eastAsia="Tinos" w:cs="Tinos"/>
          <w:sz w:val="27"/>
          <w:szCs w:val="27"/>
        </w:rPr>
      </w:r>
    </w:p>
    <w:p>
      <w:pPr>
        <w:pStyle w:val="868"/>
        <w:numPr>
          <w:ilvl w:val="0"/>
          <w:numId w:val="21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вид разрешенного использования земельного участка не предусмотрен для размещения на нем жилого дома;</w:t>
      </w:r>
      <w:r>
        <w:rPr>
          <w:rFonts w:ascii="Tinos" w:hAnsi="Tinos" w:eastAsia="Tinos" w:cs="Tinos"/>
          <w:sz w:val="27"/>
          <w:szCs w:val="27"/>
        </w:rPr>
      </w:r>
    </w:p>
    <w:p>
      <w:pPr>
        <w:pStyle w:val="868"/>
        <w:numPr>
          <w:ilvl w:val="0"/>
          <w:numId w:val="22"/>
        </w:numPr>
        <w:ind w:right="0"/>
        <w:jc w:val="both"/>
        <w:spacing w:before="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дом находится на земельном участке, расположенном в границах зоны затопления, подтопления.</w:t>
      </w:r>
      <w:r>
        <w:rPr>
          <w:rFonts w:ascii="Tinos" w:hAnsi="Tinos" w:eastAsia="Tinos" w:cs="Tinos"/>
          <w:sz w:val="27"/>
          <w:szCs w:val="27"/>
        </w:rPr>
      </w:r>
    </w:p>
    <w:p>
      <w:pPr>
        <w:ind w:left="0" w:right="0" w:firstLine="0"/>
        <w:jc w:val="both"/>
        <w:spacing w:before="240" w:after="0"/>
        <w:rPr>
          <w:rFonts w:ascii="Tinos" w:hAnsi="Tinos" w:cs="Tino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7"/>
          <w:szCs w:val="27"/>
        </w:rPr>
        <w:t xml:space="preserve">О своём решении орган местного самоуправления в течение 3 рабочих дней уведомляет заявителя тем способом, который указан в заявлении.</w:t>
        <w:br/>
        <w:br/>
        <w:t xml:space="preserve">Если в переводе отказано, то в направленном документе будут указаны основания для отказа.</w:t>
        <w:br/>
        <w:br/>
        <w:t xml:space="preserve">Если решение положительное, </w:t>
      </w:r>
      <w:r>
        <w:rPr>
          <w:rFonts w:ascii="Tinos" w:hAnsi="Tinos" w:eastAsia="Tinos" w:cs="Tinos"/>
          <w:color w:val="292c2f"/>
          <w:sz w:val="27"/>
          <w:szCs w:val="27"/>
        </w:rPr>
        <w:t xml:space="preserve">то решение о переводе садового дома в жилой администрация направляет Росреестр для внесения соответствующих сведений в ЕГРН.</w:t>
      </w:r>
      <w:r>
        <w:rPr>
          <w:rFonts w:ascii="Tinos" w:hAnsi="Tinos" w:eastAsia="Tinos" w:cs="Tinos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ind w:firstLine="0"/>
        <w:jc w:val="both"/>
        <w:spacing w:before="0" w:after="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</w:rPr>
      </w:r>
    </w:p>
    <w:p>
      <w:pPr>
        <w:ind w:firstLine="0"/>
        <w:jc w:val="both"/>
        <w:spacing w:line="360" w:lineRule="auto"/>
        <w:rPr>
          <w:rFonts w:ascii="Tinos" w:hAnsi="Tinos" w:cs="Tinos"/>
          <w:color w:val="auto"/>
          <w:spacing w:val="1"/>
          <w:sz w:val="28"/>
          <w:szCs w:val="28"/>
          <w:highlight w:val="none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cs="Tinos"/>
          <w:color w:val="auto"/>
          <w:spacing w:val="1"/>
          <w:sz w:val="28"/>
          <w:szCs w:val="28"/>
          <w:highlight w:val="none"/>
        </w:rPr>
      </w:r>
      <w:r>
        <w:rPr>
          <w:rFonts w:ascii="Tinos" w:hAnsi="Tinos" w:cs="Tinos"/>
          <w:color w:val="auto"/>
          <w:spacing w:val="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861"/>
    <w:link w:val="860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59"/>
    <w:next w:val="859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basedOn w:val="861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basedOn w:val="861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basedOn w:val="861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basedOn w:val="861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basedOn w:val="861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basedOn w:val="861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59"/>
    <w:next w:val="859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basedOn w:val="86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59"/>
    <w:next w:val="859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basedOn w:val="861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859"/>
    <w:next w:val="859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>
    <w:name w:val="Title Char"/>
    <w:basedOn w:val="861"/>
    <w:link w:val="703"/>
    <w:uiPriority w:val="10"/>
    <w:rPr>
      <w:sz w:val="48"/>
      <w:szCs w:val="48"/>
    </w:rPr>
  </w:style>
  <w:style w:type="paragraph" w:styleId="705">
    <w:name w:val="Subtitle"/>
    <w:basedOn w:val="859"/>
    <w:next w:val="859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61"/>
    <w:link w:val="705"/>
    <w:uiPriority w:val="11"/>
    <w:rPr>
      <w:sz w:val="24"/>
      <w:szCs w:val="24"/>
    </w:rPr>
  </w:style>
  <w:style w:type="paragraph" w:styleId="707">
    <w:name w:val="Quote"/>
    <w:basedOn w:val="859"/>
    <w:next w:val="859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59"/>
    <w:next w:val="859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paragraph" w:styleId="711">
    <w:name w:val="Header"/>
    <w:basedOn w:val="859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Header Char"/>
    <w:basedOn w:val="861"/>
    <w:link w:val="711"/>
    <w:uiPriority w:val="99"/>
  </w:style>
  <w:style w:type="paragraph" w:styleId="713">
    <w:name w:val="Footer"/>
    <w:basedOn w:val="859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Footer Char"/>
    <w:basedOn w:val="861"/>
    <w:link w:val="713"/>
    <w:uiPriority w:val="99"/>
  </w:style>
  <w:style w:type="paragraph" w:styleId="715">
    <w:name w:val="Caption"/>
    <w:basedOn w:val="859"/>
    <w:next w:val="8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6">
    <w:name w:val="Caption Char"/>
    <w:basedOn w:val="715"/>
    <w:link w:val="713"/>
    <w:uiPriority w:val="99"/>
  </w:style>
  <w:style w:type="table" w:styleId="717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59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1"/>
    <w:uiPriority w:val="99"/>
    <w:unhideWhenUsed/>
    <w:rPr>
      <w:vertAlign w:val="superscript"/>
    </w:rPr>
  </w:style>
  <w:style w:type="paragraph" w:styleId="846">
    <w:name w:val="endnote text"/>
    <w:basedOn w:val="859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1"/>
    <w:uiPriority w:val="99"/>
    <w:semiHidden/>
    <w:unhideWhenUsed/>
    <w:rPr>
      <w:vertAlign w:val="superscript"/>
    </w:rPr>
  </w:style>
  <w:style w:type="paragraph" w:styleId="849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</w:style>
  <w:style w:type="paragraph" w:styleId="860">
    <w:name w:val="Heading 1"/>
    <w:basedOn w:val="859"/>
    <w:next w:val="859"/>
    <w:link w:val="86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paragraph" w:styleId="864">
    <w:name w:val="Balloon Text"/>
    <w:basedOn w:val="859"/>
    <w:link w:val="8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5" w:customStyle="1">
    <w:name w:val="Текст выноски Знак"/>
    <w:basedOn w:val="861"/>
    <w:link w:val="864"/>
    <w:uiPriority w:val="99"/>
    <w:semiHidden/>
    <w:rPr>
      <w:rFonts w:ascii="Segoe UI" w:hAnsi="Segoe UI" w:cs="Segoe UI"/>
      <w:sz w:val="18"/>
      <w:szCs w:val="18"/>
    </w:rPr>
  </w:style>
  <w:style w:type="paragraph" w:styleId="866">
    <w:name w:val="No Spacing"/>
    <w:uiPriority w:val="1"/>
    <w:qFormat/>
    <w:pPr>
      <w:spacing w:after="0" w:line="240" w:lineRule="auto"/>
    </w:pPr>
  </w:style>
  <w:style w:type="character" w:styleId="867" w:customStyle="1">
    <w:name w:val="Заголовок 1 Знак"/>
    <w:basedOn w:val="861"/>
    <w:link w:val="86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8">
    <w:name w:val="List Paragraph"/>
    <w:basedOn w:val="859"/>
    <w:uiPriority w:val="34"/>
    <w:qFormat/>
    <w:pPr>
      <w:contextualSpacing/>
      <w:ind w:left="720"/>
      <w:spacing w:line="256" w:lineRule="auto"/>
    </w:pPr>
  </w:style>
  <w:style w:type="character" w:styleId="869">
    <w:name w:val="Hyperlink"/>
    <w:basedOn w:val="861"/>
    <w:uiPriority w:val="99"/>
    <w:unhideWhenUsed/>
    <w:rPr>
      <w:color w:val="0563c1" w:themeColor="hyperlink"/>
      <w:u w:val="single"/>
    </w:rPr>
  </w:style>
  <w:style w:type="character" w:styleId="870">
    <w:name w:val="annotation reference"/>
    <w:basedOn w:val="861"/>
    <w:uiPriority w:val="99"/>
    <w:semiHidden/>
    <w:unhideWhenUsed/>
    <w:rPr>
      <w:sz w:val="16"/>
      <w:szCs w:val="16"/>
    </w:rPr>
  </w:style>
  <w:style w:type="paragraph" w:styleId="871">
    <w:name w:val="annotation text"/>
    <w:basedOn w:val="859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861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  <w:style w:type="paragraph" w:styleId="875">
    <w:name w:val="toc 4"/>
    <w:basedOn w:val="859"/>
    <w:next w:val="859"/>
    <w:link w:val="876"/>
    <w:uiPriority w:val="39"/>
    <w:semiHidden/>
    <w:unhideWhenUsed/>
    <w:pPr>
      <w:ind w:left="660"/>
      <w:spacing w:after="100"/>
    </w:pPr>
  </w:style>
  <w:style w:type="character" w:styleId="876" w:customStyle="1">
    <w:name w:val="Оглавление 4 Знак"/>
    <w:link w:val="875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34</cp:revision>
  <dcterms:created xsi:type="dcterms:W3CDTF">2024-10-01T14:30:00Z</dcterms:created>
  <dcterms:modified xsi:type="dcterms:W3CDTF">2025-09-26T11:55:10Z</dcterms:modified>
</cp:coreProperties>
</file>