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1AAC" w:rsidRDefault="00D423D9">
      <w:pPr>
        <w:pStyle w:val="af4"/>
      </w:pPr>
      <w:r>
        <w:rPr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728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>
        <w:rPr>
          <w:lang w:eastAsia="ru-RU"/>
        </w:rPr>
        <w:pict>
          <v:shape id="_x0000_i0" o:spid="_x0000_i1025" type="#_x0000_t75" style="width:156pt;height:57.75pt;mso-wrap-distance-left:0;mso-wrap-distance-top:0;mso-wrap-distance-right:0;mso-wrap-distance-bottom:0">
            <v:imagedata r:id="rId7" o:title=""/>
            <v:path textboxrect="0,0,0,0"/>
          </v:shape>
        </w:pict>
      </w:r>
      <w:r w:rsidR="007422EA">
        <w:t xml:space="preserve">                                                                                                                                        </w:t>
      </w:r>
    </w:p>
    <w:p w:rsidR="00751AAC" w:rsidRDefault="00751AAC">
      <w:pPr>
        <w:pStyle w:val="af4"/>
      </w:pPr>
    </w:p>
    <w:p w:rsidR="00751AAC" w:rsidRDefault="00AC7405">
      <w:pPr>
        <w:pStyle w:val="af4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02</w:t>
      </w:r>
      <w:r w:rsidR="007422EA">
        <w:rPr>
          <w:rFonts w:ascii="Times New Roman" w:hAnsi="Times New Roman" w:cs="Times New Roman"/>
          <w:b/>
          <w:sz w:val="26"/>
          <w:szCs w:val="26"/>
        </w:rPr>
        <w:t>.10.2025</w:t>
      </w:r>
    </w:p>
    <w:p w:rsidR="00751AAC" w:rsidRDefault="00751AAC">
      <w:pPr>
        <w:spacing w:after="200" w:line="276" w:lineRule="auto"/>
        <w:ind w:left="36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51AAC" w:rsidRDefault="00D423D9">
      <w:pPr>
        <w:pStyle w:val="Heading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after="150"/>
        <w:jc w:val="center"/>
        <w:rPr>
          <w:rFonts w:ascii="Tinos" w:hAnsi="Tinos" w:cs="Tinos"/>
          <w:b/>
          <w:bCs/>
          <w:color w:val="000000" w:themeColor="text1"/>
          <w:sz w:val="28"/>
          <w:szCs w:val="28"/>
        </w:rPr>
      </w:pPr>
      <w:hyperlink r:id="rId8" w:tooltip="https://admkirovskoe.ru/informatsiya-upravleniya-rosreestra/5080-v-rosreestre-adygei-podveli-itogi-goryachej-linii-dlya-lyudej-pozhilogo-vozrasta" w:history="1">
        <w:r w:rsidR="007422EA">
          <w:rPr>
            <w:rStyle w:val="af6"/>
            <w:rFonts w:ascii="Tinos" w:eastAsia="Tinos" w:hAnsi="Tinos" w:cs="Tinos"/>
            <w:b/>
            <w:bCs/>
            <w:color w:val="000000" w:themeColor="text1"/>
            <w:sz w:val="28"/>
            <w:szCs w:val="28"/>
            <w:u w:val="none"/>
          </w:rPr>
          <w:t xml:space="preserve">В Росреестре Адыгеи </w:t>
        </w:r>
      </w:hyperlink>
      <w:r w:rsidR="007422EA">
        <w:rPr>
          <w:rFonts w:ascii="Tinos" w:eastAsia="Tinos" w:hAnsi="Tinos" w:cs="Tinos"/>
          <w:b/>
          <w:bCs/>
          <w:color w:val="000000" w:themeColor="text1"/>
          <w:sz w:val="28"/>
          <w:szCs w:val="28"/>
        </w:rPr>
        <w:t>провели консультации для пожилых жителей региона</w:t>
      </w:r>
    </w:p>
    <w:p w:rsidR="00751AAC" w:rsidRDefault="00751AA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30" w:after="0" w:line="68" w:lineRule="atLeast"/>
        <w:jc w:val="both"/>
        <w:rPr>
          <w:rFonts w:ascii="Tinos" w:hAnsi="Tinos" w:cs="Tinos"/>
          <w:sz w:val="28"/>
          <w:szCs w:val="28"/>
        </w:rPr>
      </w:pPr>
    </w:p>
    <w:p w:rsidR="00751AAC" w:rsidRDefault="007422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20" w:after="120" w:line="360" w:lineRule="auto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 xml:space="preserve">1 октября Управление Росреестра по Республике Адыгеи совместно с </w:t>
      </w:r>
      <w:proofErr w:type="gramStart"/>
      <w:r>
        <w:rPr>
          <w:rFonts w:ascii="Tinos" w:eastAsia="Tinos" w:hAnsi="Tinos" w:cs="Tinos"/>
          <w:color w:val="000000" w:themeColor="text1"/>
          <w:sz w:val="28"/>
          <w:szCs w:val="28"/>
        </w:rPr>
        <w:t>региональным</w:t>
      </w:r>
      <w:proofErr w:type="gramEnd"/>
      <w:r>
        <w:rPr>
          <w:rFonts w:ascii="Tinos" w:eastAsia="Tinos" w:hAnsi="Tinos" w:cs="Tinos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nos" w:eastAsia="Tinos" w:hAnsi="Tinos" w:cs="Tinos"/>
          <w:color w:val="000000" w:themeColor="text1"/>
          <w:sz w:val="28"/>
          <w:szCs w:val="28"/>
        </w:rPr>
        <w:t>Роскадастром</w:t>
      </w:r>
      <w:proofErr w:type="spellEnd"/>
      <w:r>
        <w:rPr>
          <w:rFonts w:ascii="Tinos" w:eastAsia="Tinos" w:hAnsi="Tinos" w:cs="Tinos"/>
          <w:color w:val="000000" w:themeColor="text1"/>
          <w:sz w:val="28"/>
          <w:szCs w:val="28"/>
        </w:rPr>
        <w:t xml:space="preserve"> провели консультации для людей преклонного возраста.</w:t>
      </w:r>
    </w:p>
    <w:p w:rsidR="00751AAC" w:rsidRDefault="007422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20" w:after="120" w:line="360" w:lineRule="auto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«</w:t>
      </w:r>
      <w:r>
        <w:rPr>
          <w:rFonts w:ascii="Tinos" w:eastAsia="Tinos" w:hAnsi="Tinos" w:cs="Tinos"/>
          <w:i/>
          <w:iCs/>
          <w:color w:val="000000" w:themeColor="text1"/>
          <w:sz w:val="28"/>
          <w:szCs w:val="28"/>
        </w:rPr>
        <w:t xml:space="preserve">Целью данного мероприятия, приуроченного ко Дню пожилых людей, является привлечение </w:t>
      </w:r>
      <w:r>
        <w:rPr>
          <w:rFonts w:ascii="Tinos" w:eastAsia="Tinos" w:hAnsi="Tinos" w:cs="Tinos"/>
          <w:i/>
          <w:iCs/>
          <w:color w:val="000000" w:themeColor="text1"/>
          <w:sz w:val="28"/>
          <w:szCs w:val="28"/>
          <w:highlight w:val="white"/>
        </w:rPr>
        <w:t>внимания общественности к проблемам людей преклонного возраста</w:t>
      </w:r>
      <w:r>
        <w:rPr>
          <w:rFonts w:ascii="Tinos" w:eastAsia="Tinos" w:hAnsi="Tinos" w:cs="Tinos"/>
          <w:color w:val="000000" w:themeColor="text1"/>
          <w:sz w:val="28"/>
          <w:szCs w:val="28"/>
        </w:rPr>
        <w:t xml:space="preserve">, возможности улучшения качества жизни, – отметила руководитель Управления Росреестра по Республике Адыгея </w:t>
      </w:r>
      <w:r>
        <w:rPr>
          <w:rFonts w:ascii="Tinos" w:eastAsia="Tinos" w:hAnsi="Tinos" w:cs="Tinos"/>
          <w:b/>
          <w:bCs/>
          <w:color w:val="000000" w:themeColor="text1"/>
          <w:sz w:val="28"/>
          <w:szCs w:val="28"/>
        </w:rPr>
        <w:t>Марина Никифорова</w:t>
      </w:r>
      <w:r>
        <w:rPr>
          <w:rFonts w:ascii="Tinos" w:eastAsia="Tinos" w:hAnsi="Tinos" w:cs="Tinos"/>
          <w:color w:val="000000" w:themeColor="text1"/>
          <w:sz w:val="28"/>
          <w:szCs w:val="28"/>
        </w:rPr>
        <w:t xml:space="preserve">. – </w:t>
      </w:r>
      <w:r>
        <w:rPr>
          <w:rFonts w:ascii="Tinos" w:eastAsia="Tinos" w:hAnsi="Tinos" w:cs="Tinos"/>
          <w:i/>
          <w:iCs/>
          <w:color w:val="000000" w:themeColor="text1"/>
          <w:sz w:val="28"/>
          <w:szCs w:val="28"/>
        </w:rPr>
        <w:t xml:space="preserve">Информационная работа и консультирование пожилых граждан способствуют повышению правовой грамотности данной категорий населения, что позволяет им быть более защищенными, </w:t>
      </w:r>
      <w:proofErr w:type="gramStart"/>
      <w:r>
        <w:rPr>
          <w:rFonts w:ascii="Tinos" w:eastAsia="Tinos" w:hAnsi="Tinos" w:cs="Tinos"/>
          <w:i/>
          <w:iCs/>
          <w:color w:val="000000" w:themeColor="text1"/>
          <w:sz w:val="28"/>
          <w:szCs w:val="28"/>
        </w:rPr>
        <w:t>при</w:t>
      </w:r>
      <w:proofErr w:type="gramEnd"/>
      <w:r>
        <w:rPr>
          <w:rFonts w:ascii="Tinos" w:eastAsia="Tinos" w:hAnsi="Tinos" w:cs="Tinos"/>
          <w:i/>
          <w:iCs/>
          <w:color w:val="000000" w:themeColor="text1"/>
          <w:sz w:val="28"/>
          <w:szCs w:val="28"/>
        </w:rPr>
        <w:t xml:space="preserve"> </w:t>
      </w:r>
      <w:proofErr w:type="gramStart"/>
      <w:r>
        <w:rPr>
          <w:rFonts w:ascii="Tinos" w:eastAsia="Tinos" w:hAnsi="Tinos" w:cs="Tinos"/>
          <w:i/>
          <w:iCs/>
          <w:color w:val="000000" w:themeColor="text1"/>
          <w:sz w:val="28"/>
          <w:szCs w:val="28"/>
        </w:rPr>
        <w:t>проведении</w:t>
      </w:r>
      <w:proofErr w:type="gramEnd"/>
      <w:r>
        <w:rPr>
          <w:rFonts w:ascii="Tinos" w:eastAsia="Tinos" w:hAnsi="Tinos" w:cs="Tinos"/>
          <w:i/>
          <w:iCs/>
          <w:color w:val="000000" w:themeColor="text1"/>
          <w:sz w:val="28"/>
          <w:szCs w:val="28"/>
        </w:rPr>
        <w:t xml:space="preserve"> операций с недвижимостью</w:t>
      </w:r>
      <w:r>
        <w:rPr>
          <w:rFonts w:ascii="Tinos" w:eastAsia="Tinos" w:hAnsi="Tinos" w:cs="Tinos"/>
          <w:color w:val="000000" w:themeColor="text1"/>
          <w:sz w:val="28"/>
          <w:szCs w:val="28"/>
        </w:rPr>
        <w:t>».</w:t>
      </w:r>
    </w:p>
    <w:p w:rsidR="00751AAC" w:rsidRDefault="007422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20" w:after="120" w:line="360" w:lineRule="auto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Специалисты помогли представителям старшего поколения разобраться с вопросами оформления квартир, гаражей, дачных и жилых домов, дали необходимые рекомендации по конкретным жизненным ситуациям, объяснили, для чего необходимо регистрировать права на недвижимость, и как обезопасить её от мошенников.</w:t>
      </w:r>
    </w:p>
    <w:p w:rsidR="00751AAC" w:rsidRDefault="007422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20" w:after="120" w:line="360" w:lineRule="auto"/>
        <w:jc w:val="both"/>
        <w:rPr>
          <w:rFonts w:ascii="Tinos" w:hAnsi="Tinos" w:cs="Tinos"/>
          <w:bCs/>
          <w:i/>
          <w:color w:val="000000" w:themeColor="text1"/>
          <w:sz w:val="28"/>
          <w:szCs w:val="28"/>
        </w:rPr>
      </w:pPr>
      <w:r>
        <w:rPr>
          <w:rFonts w:ascii="Tinos" w:eastAsia="Tinos" w:hAnsi="Tinos" w:cs="Tinos"/>
          <w:i/>
          <w:iCs/>
          <w:color w:val="000000" w:themeColor="text1"/>
          <w:sz w:val="28"/>
          <w:szCs w:val="28"/>
        </w:rPr>
        <w:t xml:space="preserve">«В нашей республике к пожилым людям традиционно относятся с большим почтением. </w:t>
      </w:r>
      <w:r>
        <w:rPr>
          <w:rFonts w:ascii="Tinos" w:eastAsia="Tinos" w:hAnsi="Tinos" w:cs="Tinos"/>
          <w:i/>
          <w:iCs/>
          <w:color w:val="000000" w:themeColor="text1"/>
          <w:sz w:val="28"/>
          <w:szCs w:val="28"/>
          <w:highlight w:val="white"/>
        </w:rPr>
        <w:t>Забота о достойной жизни и соблюдении прав пожилых людей, по сути своей, представляет собой заботу о будущем каждого человека</w:t>
      </w:r>
      <w:r>
        <w:rPr>
          <w:rFonts w:ascii="Tinos" w:eastAsia="Tinos" w:hAnsi="Tinos" w:cs="Tinos"/>
          <w:i/>
          <w:iCs/>
          <w:color w:val="000000" w:themeColor="text1"/>
          <w:sz w:val="28"/>
          <w:szCs w:val="28"/>
        </w:rPr>
        <w:t xml:space="preserve">, – </w:t>
      </w:r>
      <w:r>
        <w:rPr>
          <w:rFonts w:ascii="Tinos" w:eastAsia="Tinos" w:hAnsi="Tinos" w:cs="Tinos"/>
          <w:color w:val="000000" w:themeColor="text1"/>
          <w:sz w:val="28"/>
          <w:szCs w:val="28"/>
        </w:rPr>
        <w:t>отметил</w:t>
      </w:r>
      <w:r w:rsidR="00AC7405">
        <w:rPr>
          <w:rFonts w:ascii="Tinos" w:eastAsia="Tinos" w:hAnsi="Tinos" w:cs="Tinos"/>
          <w:color w:val="000000" w:themeColor="text1"/>
          <w:sz w:val="28"/>
          <w:szCs w:val="28"/>
        </w:rPr>
        <w:t>а</w:t>
      </w:r>
      <w:r>
        <w:rPr>
          <w:rFonts w:ascii="Tinos" w:eastAsia="Tinos" w:hAnsi="Tinos" w:cs="Tinos"/>
          <w:color w:val="000000" w:themeColor="text1"/>
          <w:sz w:val="28"/>
          <w:szCs w:val="28"/>
        </w:rPr>
        <w:t xml:space="preserve"> </w:t>
      </w:r>
      <w:r w:rsidR="00AC7405">
        <w:rPr>
          <w:rFonts w:ascii="Tinos" w:eastAsia="Tinos" w:hAnsi="Tinos" w:cs="Tinos"/>
          <w:color w:val="000000" w:themeColor="text1"/>
          <w:sz w:val="28"/>
          <w:szCs w:val="28"/>
        </w:rPr>
        <w:t xml:space="preserve">исполняющая обязанности </w:t>
      </w:r>
      <w:r>
        <w:rPr>
          <w:rFonts w:ascii="Tinos" w:eastAsia="Tinos" w:hAnsi="Tinos" w:cs="Tinos"/>
          <w:color w:val="000000" w:themeColor="text1"/>
          <w:sz w:val="28"/>
          <w:szCs w:val="28"/>
        </w:rPr>
        <w:t>директор</w:t>
      </w:r>
      <w:r w:rsidR="00AC7405">
        <w:rPr>
          <w:rFonts w:ascii="Tinos" w:eastAsia="Tinos" w:hAnsi="Tinos" w:cs="Tinos"/>
          <w:color w:val="000000" w:themeColor="text1"/>
          <w:sz w:val="28"/>
          <w:szCs w:val="28"/>
        </w:rPr>
        <w:t>а</w:t>
      </w:r>
      <w:r>
        <w:rPr>
          <w:rFonts w:ascii="Tinos" w:eastAsia="Tinos" w:hAnsi="Tinos" w:cs="Tinos"/>
          <w:color w:val="000000" w:themeColor="text1"/>
          <w:sz w:val="28"/>
          <w:szCs w:val="28"/>
        </w:rPr>
        <w:t xml:space="preserve"> </w:t>
      </w:r>
      <w:r w:rsidR="00AC7405">
        <w:rPr>
          <w:rFonts w:ascii="Tinos" w:eastAsia="Tinos" w:hAnsi="Tinos" w:cs="Tinos"/>
          <w:color w:val="000000" w:themeColor="text1"/>
          <w:sz w:val="28"/>
          <w:szCs w:val="28"/>
        </w:rPr>
        <w:t>филиала ППК</w:t>
      </w:r>
      <w:r>
        <w:rPr>
          <w:rFonts w:ascii="Tinos" w:eastAsia="Tinos" w:hAnsi="Tinos" w:cs="Tinos"/>
          <w:color w:val="000000" w:themeColor="text1"/>
          <w:sz w:val="28"/>
          <w:szCs w:val="28"/>
        </w:rPr>
        <w:t xml:space="preserve"> </w:t>
      </w:r>
      <w:r w:rsidR="00AC7405">
        <w:rPr>
          <w:rFonts w:ascii="Tinos" w:eastAsia="Tinos" w:hAnsi="Tinos" w:cs="Tinos"/>
          <w:color w:val="000000" w:themeColor="text1"/>
          <w:sz w:val="28"/>
          <w:szCs w:val="28"/>
        </w:rPr>
        <w:t>«Роскадастр»</w:t>
      </w:r>
      <w:r>
        <w:rPr>
          <w:rFonts w:ascii="Tinos" w:eastAsia="Tinos" w:hAnsi="Tinos" w:cs="Tinos"/>
          <w:color w:val="000000" w:themeColor="text1"/>
          <w:sz w:val="28"/>
          <w:szCs w:val="28"/>
        </w:rPr>
        <w:t xml:space="preserve"> </w:t>
      </w:r>
      <w:r w:rsidR="00AC7405">
        <w:rPr>
          <w:rFonts w:ascii="Tinos" w:eastAsia="Tinos" w:hAnsi="Tinos" w:cs="Tinos"/>
          <w:b/>
          <w:bCs/>
          <w:color w:val="000000" w:themeColor="text1"/>
          <w:sz w:val="28"/>
          <w:szCs w:val="28"/>
        </w:rPr>
        <w:t>Наталья Мухина</w:t>
      </w:r>
      <w:r>
        <w:rPr>
          <w:rFonts w:ascii="Tinos" w:eastAsia="Tinos" w:hAnsi="Tinos" w:cs="Tinos"/>
          <w:color w:val="000000" w:themeColor="text1"/>
          <w:sz w:val="28"/>
          <w:szCs w:val="28"/>
        </w:rPr>
        <w:t xml:space="preserve">. – </w:t>
      </w:r>
      <w:r>
        <w:rPr>
          <w:rFonts w:ascii="Tinos" w:eastAsia="Tinos" w:hAnsi="Tinos" w:cs="Tinos"/>
          <w:i/>
          <w:color w:val="000000" w:themeColor="text1"/>
          <w:sz w:val="28"/>
          <w:szCs w:val="28"/>
          <w:highlight w:val="white"/>
        </w:rPr>
        <w:t>Мы всегда готовы дать консультации, рекомендации и предложить наилучший алгоритм действий для решения их вопросов</w:t>
      </w:r>
      <w:r>
        <w:rPr>
          <w:rFonts w:ascii="Tinos" w:eastAsia="Tinos" w:hAnsi="Tinos" w:cs="Tinos"/>
          <w:i/>
          <w:color w:val="000000" w:themeColor="text1"/>
          <w:sz w:val="28"/>
          <w:szCs w:val="28"/>
        </w:rPr>
        <w:t>».</w:t>
      </w:r>
    </w:p>
    <w:p w:rsidR="00751AAC" w:rsidRDefault="007422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20" w:after="120" w:line="360" w:lineRule="auto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lastRenderedPageBreak/>
        <w:t>Приведем примеры некоторых вопросов.</w:t>
      </w:r>
    </w:p>
    <w:p w:rsidR="00751AAC" w:rsidRDefault="007422EA">
      <w:pPr>
        <w:pStyle w:val="af5"/>
        <w:numPr>
          <w:ilvl w:val="0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20" w:line="360" w:lineRule="auto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b/>
          <w:color w:val="000000" w:themeColor="text1"/>
          <w:sz w:val="28"/>
          <w:szCs w:val="28"/>
        </w:rPr>
        <w:t>У меня в собственности находится квартира, которую  хочу подарить своей взрослой дочери. Скажите, куда мне нужно обратиться, чтобы оформить договор дарения и какие нужны документы</w:t>
      </w:r>
      <w:proofErr w:type="gramStart"/>
      <w:r>
        <w:rPr>
          <w:rFonts w:ascii="Tinos" w:eastAsia="Tinos" w:hAnsi="Tinos" w:cs="Tinos"/>
          <w:b/>
          <w:color w:val="000000" w:themeColor="text1"/>
          <w:sz w:val="28"/>
          <w:szCs w:val="28"/>
        </w:rPr>
        <w:t xml:space="preserve"> ?</w:t>
      </w:r>
      <w:proofErr w:type="gramEnd"/>
    </w:p>
    <w:p w:rsidR="00751AAC" w:rsidRDefault="007422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20" w:after="120" w:line="360" w:lineRule="auto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  <w:highlight w:val="white"/>
        </w:rPr>
        <w:t>Удостоверение договоров дарения объектов недвижимого имущества производится нотариусом, осуществляющим свою деятельность в любом из нотариальных округов, расположенных в пределах субъекта Российской Федерации, на территории которого находится указанное имущество.</w:t>
      </w:r>
    </w:p>
    <w:p w:rsidR="00751AAC" w:rsidRDefault="007422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10" w:line="360" w:lineRule="auto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Нотариусу необходимо представить:</w:t>
      </w:r>
    </w:p>
    <w:p w:rsidR="00751AAC" w:rsidRDefault="007422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10" w:line="360" w:lineRule="auto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- документы, удостоверяющие личность участников договора и (или) их представителей (если сделка заключается представителем дарителя или одаряемого);</w:t>
      </w:r>
    </w:p>
    <w:p w:rsidR="00751AAC" w:rsidRDefault="007422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10" w:line="360" w:lineRule="auto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- документы, устанавливающие полномочия представителей участников договора (например, доверенность);</w:t>
      </w:r>
    </w:p>
    <w:p w:rsidR="00751AAC" w:rsidRDefault="007422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10" w:line="360" w:lineRule="auto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- документы, подтверждающие наличие близких родственных связей между сторонами договора дарения (например, свидетельство о рождении);</w:t>
      </w:r>
    </w:p>
    <w:p w:rsidR="00751AAC" w:rsidRDefault="007422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10" w:line="360" w:lineRule="auto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 xml:space="preserve">- </w:t>
      </w:r>
      <w:proofErr w:type="spellStart"/>
      <w:r>
        <w:rPr>
          <w:rFonts w:ascii="Tinos" w:eastAsia="Tinos" w:hAnsi="Tinos" w:cs="Tinos"/>
          <w:color w:val="000000" w:themeColor="text1"/>
          <w:sz w:val="28"/>
          <w:szCs w:val="28"/>
        </w:rPr>
        <w:t>СНИЛСы</w:t>
      </w:r>
      <w:proofErr w:type="spellEnd"/>
      <w:r>
        <w:rPr>
          <w:rFonts w:ascii="Tinos" w:eastAsia="Tinos" w:hAnsi="Tinos" w:cs="Tinos"/>
          <w:color w:val="000000" w:themeColor="text1"/>
          <w:sz w:val="28"/>
          <w:szCs w:val="28"/>
        </w:rPr>
        <w:t xml:space="preserve"> участников договора;</w:t>
      </w:r>
    </w:p>
    <w:p w:rsidR="00751AAC" w:rsidRDefault="007422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10" w:line="360" w:lineRule="auto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- документы, устанавливающие право собственности дарителя на недвижимое имущество.</w:t>
      </w:r>
    </w:p>
    <w:p w:rsidR="00751AAC" w:rsidRDefault="007422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10" w:line="360" w:lineRule="auto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В определенных случаях нотариус может истребовать: развернутую копию лицевого счета, адресную справку, справку о наличии (отсутствии) ранее возникшего права собственности на объект недвижимости, нотариально удостоверенное согласие супруга дарителя на отчуждение недвижимого имущества по договору дарения.</w:t>
      </w:r>
    </w:p>
    <w:p w:rsidR="00751AAC" w:rsidRDefault="007422EA">
      <w:pPr>
        <w:pStyle w:val="af5"/>
        <w:numPr>
          <w:ilvl w:val="0"/>
          <w:numId w:val="1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20" w:after="120" w:line="360" w:lineRule="auto"/>
        <w:jc w:val="both"/>
        <w:rPr>
          <w:rFonts w:ascii="Tinos" w:eastAsia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b/>
          <w:bCs/>
          <w:color w:val="000000" w:themeColor="text1"/>
          <w:sz w:val="28"/>
          <w:szCs w:val="28"/>
        </w:rPr>
        <w:t>Нужно ли проводить межевание земельного участка для продажи?</w:t>
      </w:r>
    </w:p>
    <w:p w:rsidR="00751AAC" w:rsidRDefault="007422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20" w:after="120" w:line="360" w:lineRule="auto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  <w:highlight w:val="white"/>
        </w:rPr>
        <w:t>Да, с 1 марта 2025 года проведение межевания земельного участка является обязательным условием для его продажи.</w:t>
      </w:r>
    </w:p>
    <w:p w:rsidR="00751AAC" w:rsidRDefault="007422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20" w:after="120" w:line="360" w:lineRule="auto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  <w:highlight w:val="white"/>
        </w:rPr>
        <w:t>Согласно Федеральному закону от 26.12.2024 №487-ФЗ «О внесении изменений в отдельные законодательные акты Российской Федерации», продать участок можно только в случае, если в Едином государственном реестре недвижимости (ЕГРН) содержатся сведения о местоположении его границ. </w:t>
      </w:r>
    </w:p>
    <w:p w:rsidR="00751AAC" w:rsidRDefault="007422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20" w:after="120" w:line="360" w:lineRule="auto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  <w:highlight w:val="white"/>
        </w:rPr>
        <w:t>Если сведения о границах земельного участка, который является предметом сделки, в ЕГРН отсутствуют, то орган регистрации обязан будет приостановить рассмотрение документов, что фактически приводит к приостановлению оформления сделки.</w:t>
      </w:r>
    </w:p>
    <w:p w:rsidR="00751AAC" w:rsidRPr="007422EA" w:rsidRDefault="007422EA">
      <w:pPr>
        <w:pStyle w:val="af5"/>
        <w:numPr>
          <w:ilvl w:val="0"/>
          <w:numId w:val="1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20" w:after="120" w:line="360" w:lineRule="auto"/>
        <w:jc w:val="both"/>
        <w:rPr>
          <w:rFonts w:ascii="Tinos" w:eastAsia="Tinos" w:hAnsi="Tinos" w:cs="Tinos"/>
          <w:b/>
          <w:sz w:val="28"/>
          <w:szCs w:val="28"/>
        </w:rPr>
      </w:pPr>
      <w:r w:rsidRPr="007422EA">
        <w:rPr>
          <w:rFonts w:ascii="Tinos" w:eastAsia="Tinos" w:hAnsi="Tinos" w:cs="Tinos"/>
          <w:b/>
          <w:bCs/>
          <w:sz w:val="28"/>
          <w:szCs w:val="28"/>
          <w:highlight w:val="white"/>
        </w:rPr>
        <w:t>На моем земельном участке находится баня. Нужно ли регистрировать её в Росреестре?</w:t>
      </w:r>
    </w:p>
    <w:p w:rsidR="00751AAC" w:rsidRDefault="007422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150" w:line="360" w:lineRule="auto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Одним из основных признаков недвижимого имущества, права на которые подлежат регистрации, является наличие у постройки фундамента, прочной связи объекта с землей. Кроме того, перемещение такого объекта невозможно без ущерба его назначению. В том случае, если баня соответствует этим критериям, права на нее подлежат регистрации.</w:t>
      </w:r>
    </w:p>
    <w:p w:rsidR="00751AAC" w:rsidRDefault="007422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150" w:line="360" w:lineRule="auto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Государственный кадастровый учет и регистрация прав на здание, для строительства которого не требуется получать разрешение, осуществляются на основании технического плана и правоустанавливающего документа на земельный участок, на котором расположен объект недвижимости. Для подготовки технического плана потребуется обратиться к кадастровому инженеру.</w:t>
      </w:r>
    </w:p>
    <w:p w:rsidR="00751AAC" w:rsidRDefault="007422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150" w:line="360" w:lineRule="auto"/>
        <w:jc w:val="both"/>
      </w:pPr>
      <w:r>
        <w:rPr>
          <w:rFonts w:ascii="Tinos" w:eastAsia="Tinos" w:hAnsi="Tinos" w:cs="Tinos"/>
          <w:color w:val="000000" w:themeColor="text1"/>
          <w:sz w:val="28"/>
          <w:szCs w:val="28"/>
        </w:rPr>
        <w:t>Таким образом, можно заключить, что в данном случае следует подать в любой МФЦ заявление о государственном кадастровом учете и регистрации прав собственности на созданный объект недвижимости (баню), приложив технический план объекта. Можно также воспользоваться официальным сайтом Росреестра.</w:t>
      </w:r>
    </w:p>
    <w:p w:rsidR="00751AAC" w:rsidRDefault="007422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20" w:after="120" w:line="360" w:lineRule="auto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 xml:space="preserve">Также граждан преклонного возраста интересовала тема определения кадастровой стоимости </w:t>
      </w:r>
      <w:proofErr w:type="gramStart"/>
      <w:r>
        <w:rPr>
          <w:rFonts w:ascii="Tinos" w:eastAsia="Tinos" w:hAnsi="Tinos" w:cs="Tinos"/>
          <w:color w:val="000000" w:themeColor="text1"/>
          <w:sz w:val="28"/>
          <w:szCs w:val="28"/>
        </w:rPr>
        <w:t>и</w:t>
      </w:r>
      <w:proofErr w:type="gramEnd"/>
      <w:r>
        <w:rPr>
          <w:rFonts w:ascii="Tinos" w:eastAsia="Tinos" w:hAnsi="Tinos" w:cs="Tinos"/>
          <w:color w:val="000000" w:themeColor="text1"/>
          <w:sz w:val="28"/>
          <w:szCs w:val="28"/>
        </w:rPr>
        <w:t xml:space="preserve"> где можно забрать «забытые» в МФЦ документы.</w:t>
      </w:r>
    </w:p>
    <w:p w:rsidR="00751AAC" w:rsidRDefault="007422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20" w:after="120" w:line="360" w:lineRule="auto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Пожилым людям, которые были обеспокоены возможностью совершения мошеннических действий с их объектами недвижимости, специалисты рекомендовали воспользоваться такой услугой Росреестра как внесение в Единый государственный реестр прав отметки о невозможности совершения регистрационных действий без личного участия. Данная отметка вносится по заявлению правообладателя. Это позволяет обеспечить возможность перехода права на недвижимость только в случае обращения собственника.</w:t>
      </w:r>
    </w:p>
    <w:p w:rsidR="00751AAC" w:rsidRDefault="00751AA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20" w:after="120" w:line="96" w:lineRule="atLeast"/>
        <w:jc w:val="both"/>
        <w:rPr>
          <w:rFonts w:ascii="Tinos" w:eastAsia="Tinos" w:hAnsi="Tinos" w:cs="Tinos"/>
          <w:color w:val="333333"/>
          <w:sz w:val="28"/>
          <w:szCs w:val="28"/>
        </w:rPr>
      </w:pPr>
    </w:p>
    <w:p w:rsidR="00751AAC" w:rsidRDefault="00751AA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20" w:after="120" w:line="96" w:lineRule="atLeast"/>
        <w:jc w:val="both"/>
        <w:rPr>
          <w:rFonts w:ascii="Tinos" w:eastAsia="Tinos" w:hAnsi="Tinos" w:cs="Tinos"/>
          <w:color w:val="333333"/>
          <w:sz w:val="28"/>
          <w:szCs w:val="28"/>
        </w:rPr>
      </w:pPr>
    </w:p>
    <w:p w:rsidR="00751AAC" w:rsidRDefault="00751AA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20" w:after="120" w:line="96" w:lineRule="atLeast"/>
        <w:jc w:val="both"/>
        <w:rPr>
          <w:rFonts w:ascii="Tinos" w:eastAsia="Tinos" w:hAnsi="Tinos" w:cs="Tinos"/>
          <w:color w:val="333333"/>
          <w:sz w:val="28"/>
          <w:szCs w:val="28"/>
        </w:rPr>
      </w:pPr>
    </w:p>
    <w:p w:rsidR="00751AAC" w:rsidRDefault="00751AAC">
      <w:pPr>
        <w:spacing w:before="100" w:beforeAutospacing="1" w:after="100" w:afterAutospacing="1" w:line="240" w:lineRule="auto"/>
        <w:jc w:val="both"/>
        <w:outlineLvl w:val="1"/>
        <w:rPr>
          <w:rFonts w:ascii="Tinos" w:hAnsi="Tinos" w:cs="Tinos"/>
          <w:b/>
          <w:bCs/>
          <w:color w:val="000000" w:themeColor="text1"/>
          <w:sz w:val="28"/>
          <w:szCs w:val="28"/>
        </w:rPr>
      </w:pPr>
    </w:p>
    <w:p w:rsidR="00751AAC" w:rsidRDefault="007422EA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------------------------------------</w:t>
      </w:r>
    </w:p>
    <w:p w:rsidR="00751AAC" w:rsidRDefault="007422EA">
      <w:pPr>
        <w:tabs>
          <w:tab w:val="left" w:pos="180"/>
          <w:tab w:val="left" w:pos="360"/>
          <w:tab w:val="left" w:pos="54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Контакты для СМИ: </w:t>
      </w:r>
    </w:p>
    <w:p w:rsidR="00751AAC" w:rsidRDefault="007422EA">
      <w:pPr>
        <w:tabs>
          <w:tab w:val="left" w:pos="180"/>
          <w:tab w:val="left" w:pos="360"/>
          <w:tab w:val="left" w:pos="54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01_upr@rosreestr.ru</w:t>
      </w:r>
    </w:p>
    <w:p w:rsidR="00751AAC" w:rsidRDefault="007422EA">
      <w:pPr>
        <w:tabs>
          <w:tab w:val="left" w:pos="180"/>
          <w:tab w:val="left" w:pos="360"/>
          <w:tab w:val="left" w:pos="54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www.rosreestr.gov.ru</w:t>
      </w:r>
      <w:proofErr w:type="spellEnd"/>
    </w:p>
    <w:p w:rsidR="00751AAC" w:rsidRDefault="007422EA">
      <w:pPr>
        <w:tabs>
          <w:tab w:val="left" w:pos="180"/>
          <w:tab w:val="left" w:pos="360"/>
          <w:tab w:val="left" w:pos="54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385000, Майкоп, ул.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Краснооктябрьская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д. 44</w:t>
      </w:r>
    </w:p>
    <w:sectPr w:rsidR="00751AAC" w:rsidSect="00751AAC">
      <w:pgSz w:w="11906" w:h="16838"/>
      <w:pgMar w:top="90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1AAC" w:rsidRDefault="007422EA">
      <w:pPr>
        <w:spacing w:after="0" w:line="240" w:lineRule="auto"/>
      </w:pPr>
      <w:r>
        <w:separator/>
      </w:r>
    </w:p>
  </w:endnote>
  <w:endnote w:type="continuationSeparator" w:id="0">
    <w:p w:rsidR="00751AAC" w:rsidRDefault="007422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nos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1AAC" w:rsidRDefault="007422EA">
      <w:pPr>
        <w:spacing w:after="0" w:line="240" w:lineRule="auto"/>
      </w:pPr>
      <w:r>
        <w:separator/>
      </w:r>
    </w:p>
  </w:footnote>
  <w:footnote w:type="continuationSeparator" w:id="0">
    <w:p w:rsidR="00751AAC" w:rsidRDefault="007422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33B4D"/>
    <w:multiLevelType w:val="hybridMultilevel"/>
    <w:tmpl w:val="8CD8C9E0"/>
    <w:lvl w:ilvl="0" w:tplc="0E3A391C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3CF4AAD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593A7DF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764A6FA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38F4523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EDA0A4C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DCCACD7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61DEDC3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A87402D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">
    <w:nsid w:val="0F611E12"/>
    <w:multiLevelType w:val="hybridMultilevel"/>
    <w:tmpl w:val="A8C86B3E"/>
    <w:lvl w:ilvl="0" w:tplc="BF7A22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98D7A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66ACB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54F5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FAB3B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11622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16E1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B68B9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EE061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E86452"/>
    <w:multiLevelType w:val="hybridMultilevel"/>
    <w:tmpl w:val="F8DCC1CC"/>
    <w:lvl w:ilvl="0" w:tplc="23164E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89A11BE">
      <w:start w:val="1"/>
      <w:numFmt w:val="lowerLetter"/>
      <w:lvlText w:val="%2."/>
      <w:lvlJc w:val="left"/>
      <w:pPr>
        <w:ind w:left="1647" w:hanging="360"/>
      </w:pPr>
    </w:lvl>
    <w:lvl w:ilvl="2" w:tplc="019AD574">
      <w:start w:val="1"/>
      <w:numFmt w:val="lowerRoman"/>
      <w:lvlText w:val="%3."/>
      <w:lvlJc w:val="right"/>
      <w:pPr>
        <w:ind w:left="2367" w:hanging="180"/>
      </w:pPr>
    </w:lvl>
    <w:lvl w:ilvl="3" w:tplc="439AF97C">
      <w:start w:val="1"/>
      <w:numFmt w:val="decimal"/>
      <w:lvlText w:val="%4."/>
      <w:lvlJc w:val="left"/>
      <w:pPr>
        <w:ind w:left="3087" w:hanging="360"/>
      </w:pPr>
    </w:lvl>
    <w:lvl w:ilvl="4" w:tplc="AB241564">
      <w:start w:val="1"/>
      <w:numFmt w:val="lowerLetter"/>
      <w:lvlText w:val="%5."/>
      <w:lvlJc w:val="left"/>
      <w:pPr>
        <w:ind w:left="3807" w:hanging="360"/>
      </w:pPr>
    </w:lvl>
    <w:lvl w:ilvl="5" w:tplc="1AC8EE6C">
      <w:start w:val="1"/>
      <w:numFmt w:val="lowerRoman"/>
      <w:lvlText w:val="%6."/>
      <w:lvlJc w:val="right"/>
      <w:pPr>
        <w:ind w:left="4527" w:hanging="180"/>
      </w:pPr>
    </w:lvl>
    <w:lvl w:ilvl="6" w:tplc="262CC708">
      <w:start w:val="1"/>
      <w:numFmt w:val="decimal"/>
      <w:lvlText w:val="%7."/>
      <w:lvlJc w:val="left"/>
      <w:pPr>
        <w:ind w:left="5247" w:hanging="360"/>
      </w:pPr>
    </w:lvl>
    <w:lvl w:ilvl="7" w:tplc="37644920">
      <w:start w:val="1"/>
      <w:numFmt w:val="lowerLetter"/>
      <w:lvlText w:val="%8."/>
      <w:lvlJc w:val="left"/>
      <w:pPr>
        <w:ind w:left="5967" w:hanging="360"/>
      </w:pPr>
    </w:lvl>
    <w:lvl w:ilvl="8" w:tplc="D764B86E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3D925AF"/>
    <w:multiLevelType w:val="hybridMultilevel"/>
    <w:tmpl w:val="CB32D900"/>
    <w:lvl w:ilvl="0" w:tplc="956250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79ADA44">
      <w:start w:val="1"/>
      <w:numFmt w:val="lowerLetter"/>
      <w:lvlText w:val="%2."/>
      <w:lvlJc w:val="left"/>
      <w:pPr>
        <w:ind w:left="1440" w:hanging="360"/>
      </w:pPr>
    </w:lvl>
    <w:lvl w:ilvl="2" w:tplc="23F835CA">
      <w:start w:val="1"/>
      <w:numFmt w:val="lowerRoman"/>
      <w:lvlText w:val="%3."/>
      <w:lvlJc w:val="right"/>
      <w:pPr>
        <w:ind w:left="2160" w:hanging="180"/>
      </w:pPr>
    </w:lvl>
    <w:lvl w:ilvl="3" w:tplc="0AC218F2">
      <w:start w:val="1"/>
      <w:numFmt w:val="decimal"/>
      <w:lvlText w:val="%4."/>
      <w:lvlJc w:val="left"/>
      <w:pPr>
        <w:ind w:left="2880" w:hanging="360"/>
      </w:pPr>
    </w:lvl>
    <w:lvl w:ilvl="4" w:tplc="412E03B8">
      <w:start w:val="1"/>
      <w:numFmt w:val="lowerLetter"/>
      <w:lvlText w:val="%5."/>
      <w:lvlJc w:val="left"/>
      <w:pPr>
        <w:ind w:left="3600" w:hanging="360"/>
      </w:pPr>
    </w:lvl>
    <w:lvl w:ilvl="5" w:tplc="22F200E8">
      <w:start w:val="1"/>
      <w:numFmt w:val="lowerRoman"/>
      <w:lvlText w:val="%6."/>
      <w:lvlJc w:val="right"/>
      <w:pPr>
        <w:ind w:left="4320" w:hanging="180"/>
      </w:pPr>
    </w:lvl>
    <w:lvl w:ilvl="6" w:tplc="14A2EA9C">
      <w:start w:val="1"/>
      <w:numFmt w:val="decimal"/>
      <w:lvlText w:val="%7."/>
      <w:lvlJc w:val="left"/>
      <w:pPr>
        <w:ind w:left="5040" w:hanging="360"/>
      </w:pPr>
    </w:lvl>
    <w:lvl w:ilvl="7" w:tplc="121895EC">
      <w:start w:val="1"/>
      <w:numFmt w:val="lowerLetter"/>
      <w:lvlText w:val="%8."/>
      <w:lvlJc w:val="left"/>
      <w:pPr>
        <w:ind w:left="5760" w:hanging="360"/>
      </w:pPr>
    </w:lvl>
    <w:lvl w:ilvl="8" w:tplc="2D46512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E965C8"/>
    <w:multiLevelType w:val="hybridMultilevel"/>
    <w:tmpl w:val="E32825A6"/>
    <w:lvl w:ilvl="0" w:tplc="AC98E7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B7819D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9B681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8230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FCDA9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B42FC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3229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3CD56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A760C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ED7102"/>
    <w:multiLevelType w:val="hybridMultilevel"/>
    <w:tmpl w:val="7616AC3A"/>
    <w:lvl w:ilvl="0" w:tplc="C896A5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3DC634A">
      <w:start w:val="1"/>
      <w:numFmt w:val="lowerLetter"/>
      <w:lvlText w:val="%2."/>
      <w:lvlJc w:val="left"/>
      <w:pPr>
        <w:ind w:left="1440" w:hanging="360"/>
      </w:pPr>
    </w:lvl>
    <w:lvl w:ilvl="2" w:tplc="9E14136E">
      <w:start w:val="1"/>
      <w:numFmt w:val="lowerRoman"/>
      <w:lvlText w:val="%3."/>
      <w:lvlJc w:val="right"/>
      <w:pPr>
        <w:ind w:left="2160" w:hanging="180"/>
      </w:pPr>
    </w:lvl>
    <w:lvl w:ilvl="3" w:tplc="B498DFB2">
      <w:start w:val="1"/>
      <w:numFmt w:val="decimal"/>
      <w:lvlText w:val="%4."/>
      <w:lvlJc w:val="left"/>
      <w:pPr>
        <w:ind w:left="2880" w:hanging="360"/>
      </w:pPr>
    </w:lvl>
    <w:lvl w:ilvl="4" w:tplc="6B0C4DF6">
      <w:start w:val="1"/>
      <w:numFmt w:val="lowerLetter"/>
      <w:lvlText w:val="%5."/>
      <w:lvlJc w:val="left"/>
      <w:pPr>
        <w:ind w:left="3600" w:hanging="360"/>
      </w:pPr>
    </w:lvl>
    <w:lvl w:ilvl="5" w:tplc="4B30D2F4">
      <w:start w:val="1"/>
      <w:numFmt w:val="lowerRoman"/>
      <w:lvlText w:val="%6."/>
      <w:lvlJc w:val="right"/>
      <w:pPr>
        <w:ind w:left="4320" w:hanging="180"/>
      </w:pPr>
    </w:lvl>
    <w:lvl w:ilvl="6" w:tplc="597E8EDA">
      <w:start w:val="1"/>
      <w:numFmt w:val="decimal"/>
      <w:lvlText w:val="%7."/>
      <w:lvlJc w:val="left"/>
      <w:pPr>
        <w:ind w:left="5040" w:hanging="360"/>
      </w:pPr>
    </w:lvl>
    <w:lvl w:ilvl="7" w:tplc="B1385728">
      <w:start w:val="1"/>
      <w:numFmt w:val="lowerLetter"/>
      <w:lvlText w:val="%8."/>
      <w:lvlJc w:val="left"/>
      <w:pPr>
        <w:ind w:left="5760" w:hanging="360"/>
      </w:pPr>
    </w:lvl>
    <w:lvl w:ilvl="8" w:tplc="04FEECA6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9666D4"/>
    <w:multiLevelType w:val="hybridMultilevel"/>
    <w:tmpl w:val="26AAD2EC"/>
    <w:lvl w:ilvl="0" w:tplc="56F6B170">
      <w:start w:val="1"/>
      <w:numFmt w:val="bullet"/>
      <w:lvlText w:val="§"/>
      <w:lvlJc w:val="left"/>
      <w:pPr>
        <w:ind w:left="709" w:hanging="360"/>
      </w:pPr>
      <w:rPr>
        <w:rFonts w:ascii="Wingdings" w:eastAsia="Wingdings" w:hAnsi="Wingdings" w:cs="Wingdings" w:hint="default"/>
      </w:rPr>
    </w:lvl>
    <w:lvl w:ilvl="1" w:tplc="AB7E89FE">
      <w:start w:val="1"/>
      <w:numFmt w:val="bullet"/>
      <w:lvlText w:val="§"/>
      <w:lvlJc w:val="left"/>
      <w:pPr>
        <w:ind w:left="1429" w:hanging="360"/>
      </w:pPr>
      <w:rPr>
        <w:rFonts w:ascii="Wingdings" w:eastAsia="Wingdings" w:hAnsi="Wingdings" w:cs="Wingdings" w:hint="default"/>
      </w:rPr>
    </w:lvl>
    <w:lvl w:ilvl="2" w:tplc="3F309DA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8B246B7E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4" w:tplc="24BC96C4">
      <w:start w:val="1"/>
      <w:numFmt w:val="bullet"/>
      <w:lvlText w:val="§"/>
      <w:lvlJc w:val="left"/>
      <w:pPr>
        <w:ind w:left="3589" w:hanging="360"/>
      </w:pPr>
      <w:rPr>
        <w:rFonts w:ascii="Wingdings" w:eastAsia="Wingdings" w:hAnsi="Wingdings" w:cs="Wingdings" w:hint="default"/>
      </w:rPr>
    </w:lvl>
    <w:lvl w:ilvl="5" w:tplc="59AA502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431C0C50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7" w:tplc="BB30966A">
      <w:start w:val="1"/>
      <w:numFmt w:val="bullet"/>
      <w:lvlText w:val="§"/>
      <w:lvlJc w:val="left"/>
      <w:pPr>
        <w:ind w:left="5749" w:hanging="360"/>
      </w:pPr>
      <w:rPr>
        <w:rFonts w:ascii="Wingdings" w:eastAsia="Wingdings" w:hAnsi="Wingdings" w:cs="Wingdings" w:hint="default"/>
      </w:rPr>
    </w:lvl>
    <w:lvl w:ilvl="8" w:tplc="E87C626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7">
    <w:nsid w:val="344451FA"/>
    <w:multiLevelType w:val="hybridMultilevel"/>
    <w:tmpl w:val="4582098E"/>
    <w:lvl w:ilvl="0" w:tplc="EA647CF4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0A387BC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3C4CC3C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3DAEAE1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925EA2A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6E182FB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DA7A21B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29C6E27E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B65A14A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8">
    <w:nsid w:val="381D6029"/>
    <w:multiLevelType w:val="hybridMultilevel"/>
    <w:tmpl w:val="7EDE842A"/>
    <w:lvl w:ilvl="0" w:tplc="C0006E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2A108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E942D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96B8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1C172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7BA7F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DA22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56E4E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449A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1F268E9"/>
    <w:multiLevelType w:val="hybridMultilevel"/>
    <w:tmpl w:val="DF8470AC"/>
    <w:lvl w:ilvl="0" w:tplc="FCF60020">
      <w:start w:val="3"/>
      <w:numFmt w:val="decimal"/>
      <w:lvlText w:val="%1"/>
      <w:lvlJc w:val="left"/>
      <w:pPr>
        <w:ind w:left="720" w:hanging="360"/>
      </w:pPr>
      <w:rPr>
        <w:rFonts w:hint="default"/>
        <w:b/>
        <w:color w:val="auto"/>
        <w:sz w:val="27"/>
      </w:rPr>
    </w:lvl>
    <w:lvl w:ilvl="1" w:tplc="337EBA0C">
      <w:start w:val="1"/>
      <w:numFmt w:val="lowerLetter"/>
      <w:lvlText w:val="%2."/>
      <w:lvlJc w:val="left"/>
      <w:pPr>
        <w:ind w:left="1440" w:hanging="360"/>
      </w:pPr>
    </w:lvl>
    <w:lvl w:ilvl="2" w:tplc="00BCA320">
      <w:start w:val="1"/>
      <w:numFmt w:val="lowerRoman"/>
      <w:lvlText w:val="%3."/>
      <w:lvlJc w:val="right"/>
      <w:pPr>
        <w:ind w:left="2160" w:hanging="180"/>
      </w:pPr>
    </w:lvl>
    <w:lvl w:ilvl="3" w:tplc="9CF03836">
      <w:start w:val="1"/>
      <w:numFmt w:val="decimal"/>
      <w:lvlText w:val="%4."/>
      <w:lvlJc w:val="left"/>
      <w:pPr>
        <w:ind w:left="2880" w:hanging="360"/>
      </w:pPr>
    </w:lvl>
    <w:lvl w:ilvl="4" w:tplc="D132045C">
      <w:start w:val="1"/>
      <w:numFmt w:val="lowerLetter"/>
      <w:lvlText w:val="%5."/>
      <w:lvlJc w:val="left"/>
      <w:pPr>
        <w:ind w:left="3600" w:hanging="360"/>
      </w:pPr>
    </w:lvl>
    <w:lvl w:ilvl="5" w:tplc="8DF8D236">
      <w:start w:val="1"/>
      <w:numFmt w:val="lowerRoman"/>
      <w:lvlText w:val="%6."/>
      <w:lvlJc w:val="right"/>
      <w:pPr>
        <w:ind w:left="4320" w:hanging="180"/>
      </w:pPr>
    </w:lvl>
    <w:lvl w:ilvl="6" w:tplc="1AFC8D18">
      <w:start w:val="1"/>
      <w:numFmt w:val="decimal"/>
      <w:lvlText w:val="%7."/>
      <w:lvlJc w:val="left"/>
      <w:pPr>
        <w:ind w:left="5040" w:hanging="360"/>
      </w:pPr>
    </w:lvl>
    <w:lvl w:ilvl="7" w:tplc="4FB67316">
      <w:start w:val="1"/>
      <w:numFmt w:val="lowerLetter"/>
      <w:lvlText w:val="%8."/>
      <w:lvlJc w:val="left"/>
      <w:pPr>
        <w:ind w:left="5760" w:hanging="360"/>
      </w:pPr>
    </w:lvl>
    <w:lvl w:ilvl="8" w:tplc="6DB4FDA6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2B306E"/>
    <w:multiLevelType w:val="hybridMultilevel"/>
    <w:tmpl w:val="60120F9E"/>
    <w:lvl w:ilvl="0" w:tplc="8F24D4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70543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C5EE9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4AA2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7EB9B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10A17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FA4E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01F6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65E3F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46C5677"/>
    <w:multiLevelType w:val="hybridMultilevel"/>
    <w:tmpl w:val="92D20EE6"/>
    <w:lvl w:ilvl="0" w:tplc="D72AE7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90901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BA9A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6292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74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690AC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3E7C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A25E1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78A4C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2421CAC"/>
    <w:multiLevelType w:val="hybridMultilevel"/>
    <w:tmpl w:val="78502B94"/>
    <w:lvl w:ilvl="0" w:tplc="37CA9FD6">
      <w:start w:val="10"/>
      <w:numFmt w:val="decimal"/>
      <w:lvlText w:val="%1"/>
      <w:lvlJc w:val="left"/>
      <w:pPr>
        <w:ind w:left="720" w:hanging="360"/>
      </w:pPr>
      <w:rPr>
        <w:rFonts w:hint="default"/>
        <w:b/>
        <w:color w:val="auto"/>
        <w:sz w:val="27"/>
      </w:rPr>
    </w:lvl>
    <w:lvl w:ilvl="1" w:tplc="810290A6">
      <w:start w:val="1"/>
      <w:numFmt w:val="lowerLetter"/>
      <w:lvlText w:val="%2."/>
      <w:lvlJc w:val="left"/>
      <w:pPr>
        <w:ind w:left="1440" w:hanging="360"/>
      </w:pPr>
    </w:lvl>
    <w:lvl w:ilvl="2" w:tplc="CCD8321E">
      <w:start w:val="1"/>
      <w:numFmt w:val="lowerRoman"/>
      <w:lvlText w:val="%3."/>
      <w:lvlJc w:val="right"/>
      <w:pPr>
        <w:ind w:left="2160" w:hanging="180"/>
      </w:pPr>
    </w:lvl>
    <w:lvl w:ilvl="3" w:tplc="148CB48C">
      <w:start w:val="1"/>
      <w:numFmt w:val="decimal"/>
      <w:lvlText w:val="%4."/>
      <w:lvlJc w:val="left"/>
      <w:pPr>
        <w:ind w:left="2880" w:hanging="360"/>
      </w:pPr>
    </w:lvl>
    <w:lvl w:ilvl="4" w:tplc="F1D29D0C">
      <w:start w:val="1"/>
      <w:numFmt w:val="lowerLetter"/>
      <w:lvlText w:val="%5."/>
      <w:lvlJc w:val="left"/>
      <w:pPr>
        <w:ind w:left="3600" w:hanging="360"/>
      </w:pPr>
    </w:lvl>
    <w:lvl w:ilvl="5" w:tplc="5714EADA">
      <w:start w:val="1"/>
      <w:numFmt w:val="lowerRoman"/>
      <w:lvlText w:val="%6."/>
      <w:lvlJc w:val="right"/>
      <w:pPr>
        <w:ind w:left="4320" w:hanging="180"/>
      </w:pPr>
    </w:lvl>
    <w:lvl w:ilvl="6" w:tplc="5EAEAF9C">
      <w:start w:val="1"/>
      <w:numFmt w:val="decimal"/>
      <w:lvlText w:val="%7."/>
      <w:lvlJc w:val="left"/>
      <w:pPr>
        <w:ind w:left="5040" w:hanging="360"/>
      </w:pPr>
    </w:lvl>
    <w:lvl w:ilvl="7" w:tplc="650C06EC">
      <w:start w:val="1"/>
      <w:numFmt w:val="lowerLetter"/>
      <w:lvlText w:val="%8."/>
      <w:lvlJc w:val="left"/>
      <w:pPr>
        <w:ind w:left="5760" w:hanging="360"/>
      </w:pPr>
    </w:lvl>
    <w:lvl w:ilvl="8" w:tplc="0D501ABA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9B867EA"/>
    <w:multiLevelType w:val="hybridMultilevel"/>
    <w:tmpl w:val="B69ADF7A"/>
    <w:lvl w:ilvl="0" w:tplc="E43A192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6A1AD0C8">
      <w:start w:val="1"/>
      <w:numFmt w:val="lowerLetter"/>
      <w:lvlText w:val="%2."/>
      <w:lvlJc w:val="left"/>
      <w:pPr>
        <w:ind w:left="1440" w:hanging="360"/>
      </w:pPr>
    </w:lvl>
    <w:lvl w:ilvl="2" w:tplc="02E6AAFC">
      <w:start w:val="1"/>
      <w:numFmt w:val="lowerRoman"/>
      <w:lvlText w:val="%3."/>
      <w:lvlJc w:val="right"/>
      <w:pPr>
        <w:ind w:left="2160" w:hanging="180"/>
      </w:pPr>
    </w:lvl>
    <w:lvl w:ilvl="3" w:tplc="05D6610E">
      <w:start w:val="1"/>
      <w:numFmt w:val="decimal"/>
      <w:lvlText w:val="%4."/>
      <w:lvlJc w:val="left"/>
      <w:pPr>
        <w:ind w:left="2880" w:hanging="360"/>
      </w:pPr>
    </w:lvl>
    <w:lvl w:ilvl="4" w:tplc="C450C52E">
      <w:start w:val="1"/>
      <w:numFmt w:val="lowerLetter"/>
      <w:lvlText w:val="%5."/>
      <w:lvlJc w:val="left"/>
      <w:pPr>
        <w:ind w:left="3600" w:hanging="360"/>
      </w:pPr>
    </w:lvl>
    <w:lvl w:ilvl="5" w:tplc="F1CEF162">
      <w:start w:val="1"/>
      <w:numFmt w:val="lowerRoman"/>
      <w:lvlText w:val="%6."/>
      <w:lvlJc w:val="right"/>
      <w:pPr>
        <w:ind w:left="4320" w:hanging="180"/>
      </w:pPr>
    </w:lvl>
    <w:lvl w:ilvl="6" w:tplc="DCD8C9BC">
      <w:start w:val="1"/>
      <w:numFmt w:val="decimal"/>
      <w:lvlText w:val="%7."/>
      <w:lvlJc w:val="left"/>
      <w:pPr>
        <w:ind w:left="5040" w:hanging="360"/>
      </w:pPr>
    </w:lvl>
    <w:lvl w:ilvl="7" w:tplc="BB645D14">
      <w:start w:val="1"/>
      <w:numFmt w:val="lowerLetter"/>
      <w:lvlText w:val="%8."/>
      <w:lvlJc w:val="left"/>
      <w:pPr>
        <w:ind w:left="5760" w:hanging="360"/>
      </w:pPr>
    </w:lvl>
    <w:lvl w:ilvl="8" w:tplc="2C0AEA34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C3C558F"/>
    <w:multiLevelType w:val="hybridMultilevel"/>
    <w:tmpl w:val="A550804E"/>
    <w:lvl w:ilvl="0" w:tplc="AC060D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A086B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AFA03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989C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1C766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34025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1E83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DE42E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A7A26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F941625"/>
    <w:multiLevelType w:val="hybridMultilevel"/>
    <w:tmpl w:val="8EE45304"/>
    <w:lvl w:ilvl="0" w:tplc="23745C5C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B9F80A5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8BA315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7181DE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2E4AA9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212338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14A3D7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F5CD38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E56102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13"/>
  </w:num>
  <w:num w:numId="2">
    <w:abstractNumId w:val="2"/>
  </w:num>
  <w:num w:numId="3">
    <w:abstractNumId w:val="3"/>
  </w:num>
  <w:num w:numId="4">
    <w:abstractNumId w:val="5"/>
  </w:num>
  <w:num w:numId="5">
    <w:abstractNumId w:val="8"/>
  </w:num>
  <w:num w:numId="6">
    <w:abstractNumId w:val="10"/>
  </w:num>
  <w:num w:numId="7">
    <w:abstractNumId w:val="14"/>
  </w:num>
  <w:num w:numId="8">
    <w:abstractNumId w:val="1"/>
  </w:num>
  <w:num w:numId="9">
    <w:abstractNumId w:val="11"/>
  </w:num>
  <w:num w:numId="10">
    <w:abstractNumId w:val="9"/>
  </w:num>
  <w:num w:numId="11">
    <w:abstractNumId w:val="4"/>
  </w:num>
  <w:num w:numId="12">
    <w:abstractNumId w:val="12"/>
  </w:num>
  <w:num w:numId="13">
    <w:abstractNumId w:val="6"/>
  </w:num>
  <w:num w:numId="14">
    <w:abstractNumId w:val="0"/>
  </w:num>
  <w:num w:numId="15">
    <w:abstractNumId w:val="15"/>
  </w:num>
  <w:num w:numId="1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751AAC"/>
    <w:rsid w:val="007422EA"/>
    <w:rsid w:val="00751AAC"/>
    <w:rsid w:val="00AC7405"/>
    <w:rsid w:val="00D423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A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751AAC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751AAC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751AAC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751AAC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751AAC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751AAC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751AAC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751AAC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751AAC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751AAC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751AAC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751AAC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751AAC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751AAC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751AAC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751AAC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751AAC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751AAC"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sid w:val="00751AAC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751AAC"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751AAC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751AAC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751AAC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751AA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751AAC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751AAC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751AAC"/>
  </w:style>
  <w:style w:type="paragraph" w:customStyle="1" w:styleId="Footer">
    <w:name w:val="Footer"/>
    <w:basedOn w:val="a"/>
    <w:link w:val="CaptionChar"/>
    <w:uiPriority w:val="99"/>
    <w:unhideWhenUsed/>
    <w:rsid w:val="00751AAC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751AAC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751AAC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751AAC"/>
  </w:style>
  <w:style w:type="table" w:styleId="a9">
    <w:name w:val="Table Grid"/>
    <w:basedOn w:val="a1"/>
    <w:uiPriority w:val="59"/>
    <w:rsid w:val="00751AA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751AAC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751AAC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751A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751AA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751AA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751AA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751AA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751AA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751AA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751AA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751AA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751AA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751AA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751AA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751AA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751AA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751AA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751A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rsid w:val="00751AAC"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sid w:val="00751AAC"/>
    <w:rPr>
      <w:sz w:val="18"/>
    </w:rPr>
  </w:style>
  <w:style w:type="character" w:styleId="ac">
    <w:name w:val="footnote reference"/>
    <w:basedOn w:val="a0"/>
    <w:uiPriority w:val="99"/>
    <w:unhideWhenUsed/>
    <w:rsid w:val="00751AAC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751AAC"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sid w:val="00751AAC"/>
    <w:rPr>
      <w:sz w:val="20"/>
    </w:rPr>
  </w:style>
  <w:style w:type="character" w:styleId="af">
    <w:name w:val="endnote reference"/>
    <w:basedOn w:val="a0"/>
    <w:uiPriority w:val="99"/>
    <w:semiHidden/>
    <w:unhideWhenUsed/>
    <w:rsid w:val="00751AAC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751AAC"/>
    <w:pPr>
      <w:spacing w:after="57"/>
    </w:pPr>
  </w:style>
  <w:style w:type="paragraph" w:styleId="21">
    <w:name w:val="toc 2"/>
    <w:basedOn w:val="a"/>
    <w:next w:val="a"/>
    <w:uiPriority w:val="39"/>
    <w:unhideWhenUsed/>
    <w:rsid w:val="00751AAC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751AAC"/>
    <w:pPr>
      <w:spacing w:after="57"/>
      <w:ind w:left="567"/>
    </w:pPr>
  </w:style>
  <w:style w:type="paragraph" w:styleId="5">
    <w:name w:val="toc 5"/>
    <w:basedOn w:val="a"/>
    <w:next w:val="a"/>
    <w:uiPriority w:val="39"/>
    <w:unhideWhenUsed/>
    <w:rsid w:val="00751AAC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751AAC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751AAC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751AAC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751AAC"/>
    <w:pPr>
      <w:spacing w:after="57"/>
      <w:ind w:left="2268"/>
    </w:pPr>
  </w:style>
  <w:style w:type="paragraph" w:styleId="af0">
    <w:name w:val="TOC Heading"/>
    <w:uiPriority w:val="39"/>
    <w:unhideWhenUsed/>
    <w:rsid w:val="00751AAC"/>
  </w:style>
  <w:style w:type="paragraph" w:styleId="af1">
    <w:name w:val="table of figures"/>
    <w:basedOn w:val="a"/>
    <w:next w:val="a"/>
    <w:uiPriority w:val="99"/>
    <w:unhideWhenUsed/>
    <w:rsid w:val="00751AAC"/>
    <w:pPr>
      <w:spacing w:after="0"/>
    </w:pPr>
  </w:style>
  <w:style w:type="paragraph" w:customStyle="1" w:styleId="Heading1">
    <w:name w:val="Heading 1"/>
    <w:basedOn w:val="a"/>
    <w:next w:val="a"/>
    <w:link w:val="10"/>
    <w:uiPriority w:val="9"/>
    <w:qFormat/>
    <w:rsid w:val="00751AA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f2">
    <w:name w:val="Balloon Text"/>
    <w:basedOn w:val="a"/>
    <w:link w:val="af3"/>
    <w:uiPriority w:val="99"/>
    <w:semiHidden/>
    <w:unhideWhenUsed/>
    <w:rsid w:val="00751A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751AAC"/>
    <w:rPr>
      <w:rFonts w:ascii="Segoe UI" w:hAnsi="Segoe UI" w:cs="Segoe UI"/>
      <w:sz w:val="18"/>
      <w:szCs w:val="18"/>
    </w:rPr>
  </w:style>
  <w:style w:type="paragraph" w:styleId="af4">
    <w:name w:val="No Spacing"/>
    <w:uiPriority w:val="1"/>
    <w:qFormat/>
    <w:rsid w:val="00751AAC"/>
    <w:pPr>
      <w:spacing w:after="0" w:line="240" w:lineRule="auto"/>
    </w:pPr>
  </w:style>
  <w:style w:type="character" w:customStyle="1" w:styleId="10">
    <w:name w:val="Заголовок 1 Знак"/>
    <w:basedOn w:val="a0"/>
    <w:link w:val="Heading1"/>
    <w:uiPriority w:val="9"/>
    <w:rsid w:val="00751A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f5">
    <w:name w:val="List Paragraph"/>
    <w:basedOn w:val="a"/>
    <w:uiPriority w:val="34"/>
    <w:qFormat/>
    <w:rsid w:val="00751AAC"/>
    <w:pPr>
      <w:spacing w:line="256" w:lineRule="auto"/>
      <w:ind w:left="720"/>
      <w:contextualSpacing/>
    </w:pPr>
  </w:style>
  <w:style w:type="character" w:styleId="af6">
    <w:name w:val="Hyperlink"/>
    <w:basedOn w:val="a0"/>
    <w:uiPriority w:val="99"/>
    <w:unhideWhenUsed/>
    <w:rsid w:val="00751AAC"/>
    <w:rPr>
      <w:color w:val="0563C1" w:themeColor="hyperlink"/>
      <w:u w:val="single"/>
    </w:rPr>
  </w:style>
  <w:style w:type="character" w:styleId="af7">
    <w:name w:val="annotation reference"/>
    <w:basedOn w:val="a0"/>
    <w:uiPriority w:val="99"/>
    <w:semiHidden/>
    <w:unhideWhenUsed/>
    <w:rsid w:val="00751AAC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751AAC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751AAC"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751AAC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751AAC"/>
    <w:rPr>
      <w:b/>
      <w:bCs/>
      <w:sz w:val="20"/>
      <w:szCs w:val="20"/>
    </w:rPr>
  </w:style>
  <w:style w:type="paragraph" w:styleId="4">
    <w:name w:val="toc 4"/>
    <w:basedOn w:val="a"/>
    <w:next w:val="a"/>
    <w:link w:val="40"/>
    <w:uiPriority w:val="39"/>
    <w:semiHidden/>
    <w:unhideWhenUsed/>
    <w:rsid w:val="00751AAC"/>
    <w:pPr>
      <w:spacing w:after="100"/>
      <w:ind w:left="660"/>
    </w:pPr>
  </w:style>
  <w:style w:type="character" w:customStyle="1" w:styleId="40">
    <w:name w:val="Оглавление 4 Знак"/>
    <w:link w:val="4"/>
    <w:uiPriority w:val="39"/>
    <w:semiHidden/>
    <w:rsid w:val="00751AA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mkirovskoe.ru/informatsiya-upravleniya-rosreestra/5080-v-rosreestre-adygei-podveli-itogi-goryachej-linii-dlya-lyudej-pozhilogo-vozrast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848</Words>
  <Characters>4840</Characters>
  <Application>Microsoft Office Word</Application>
  <DocSecurity>0</DocSecurity>
  <Lines>40</Lines>
  <Paragraphs>11</Paragraphs>
  <ScaleCrop>false</ScaleCrop>
  <Company/>
  <LinksUpToDate>false</LinksUpToDate>
  <CharactersWithSpaces>5677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Пушкарская Диана Дмитриевна</dc:creator>
  <cp:lastModifiedBy>lyafisheva</cp:lastModifiedBy>
  <cp:revision>22</cp:revision>
  <cp:lastPrinted>2025-10-02T09:36:00Z</cp:lastPrinted>
  <dcterms:created xsi:type="dcterms:W3CDTF">2024-10-01T14:30:00Z</dcterms:created>
  <dcterms:modified xsi:type="dcterms:W3CDTF">2025-10-02T09:36:00Z</dcterms:modified>
</cp:coreProperties>
</file>