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60"/>
      </w:pP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1984211" cy="729205"/>
                <wp:effectExtent l="0" t="0" r="0" b="0"/>
                <wp:docPr id="1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Рисунок 2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9"/>
                        <a:stretch/>
                      </pic:blipFill>
                      <pic:spPr bwMode="auto">
                        <a:xfrm>
                          <a:off x="0" y="0"/>
                          <a:ext cx="2045546" cy="75174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156.24pt;height:57.42pt;mso-wrap-distance-left:0.00pt;mso-wrap-distance-top:0.00pt;mso-wrap-distance-right:0.00pt;mso-wrap-distance-bottom:0.00pt;" stroked="false">
                <v:path textboxrect="0,0,0,0"/>
                <v:imagedata r:id="rId9" o:title=""/>
              </v:shape>
            </w:pict>
          </mc:Fallback>
        </mc:AlternateContent>
      </w:r>
      <w:r>
        <w:t xml:space="preserve">                                                                                                                                        </w:t>
      </w:r>
      <w:r/>
    </w:p>
    <w:p>
      <w:pPr>
        <w:pStyle w:val="860"/>
      </w:pPr>
      <w:r/>
      <w:r/>
    </w:p>
    <w:p>
      <w:pPr>
        <w:contextualSpacing/>
        <w:ind w:left="360"/>
        <w:jc w:val="center"/>
        <w:spacing w:after="200" w:line="276" w:lineRule="auto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r>
    </w:p>
    <w:p>
      <w:pPr>
        <w:jc w:val="both"/>
        <w:spacing w:before="100" w:beforeAutospacing="1" w:after="100" w:afterAutospacing="1" w:line="240" w:lineRule="auto"/>
        <w:rPr>
          <w:rFonts w:ascii="Tinos" w:hAnsi="Tinos" w:eastAsia="Tinos" w:cs="Tinos"/>
          <w:b w:val="0"/>
          <w:bCs w:val="0"/>
          <w:color w:val="333333"/>
          <w:sz w:val="28"/>
          <w:szCs w:val="28"/>
          <w:highlight w:val="none"/>
        </w:rPr>
        <w:outlineLvl w:val="1"/>
      </w:pPr>
      <w:r>
        <w:rPr>
          <w:rFonts w:ascii="Tinos" w:hAnsi="Tinos" w:eastAsia="Tinos" w:cs="Tinos"/>
          <w:b w:val="0"/>
          <w:bCs w:val="0"/>
          <w:color w:val="333333"/>
          <w:sz w:val="28"/>
          <w:szCs w:val="28"/>
          <w:highlight w:val="none"/>
        </w:rPr>
      </w:r>
      <w:r>
        <w:rPr>
          <w:rFonts w:ascii="Tinos" w:hAnsi="Tinos" w:eastAsia="Tinos" w:cs="Tinos"/>
          <w:b w:val="0"/>
          <w:bCs w:val="0"/>
          <w:color w:val="333333"/>
          <w:sz w:val="28"/>
          <w:szCs w:val="28"/>
          <w:highlight w:val="none"/>
        </w:rPr>
      </w:r>
      <w:r>
        <w:rPr>
          <w:rFonts w:ascii="Tinos" w:hAnsi="Tinos" w:eastAsia="Tinos" w:cs="Tinos"/>
          <w:b w:val="0"/>
          <w:bCs w:val="0"/>
          <w:color w:val="333333"/>
          <w:sz w:val="28"/>
          <w:szCs w:val="28"/>
          <w:highlight w:val="none"/>
        </w:rPr>
      </w:r>
    </w:p>
    <w:p>
      <w:pPr>
        <w:jc w:val="center"/>
        <w:spacing w:before="100" w:beforeAutospacing="1" w:after="100" w:afterAutospacing="1" w:line="240" w:lineRule="auto"/>
        <w:rPr>
          <w:rFonts w:ascii="Tinos" w:hAnsi="Tinos" w:eastAsia="Tinos" w:cs="Tinos"/>
          <w:b w:val="0"/>
          <w:bCs w:val="0"/>
          <w:color w:val="333333"/>
          <w:sz w:val="28"/>
          <w:szCs w:val="28"/>
          <w:highlight w:val="none"/>
        </w:rPr>
        <w:outlineLvl w:val="1"/>
      </w:pPr>
      <w:r>
        <w:rPr>
          <w:rFonts w:ascii="Tinos" w:hAnsi="Tinos" w:eastAsia="Tinos" w:cs="Tinos"/>
          <w:b w:val="0"/>
          <w:bCs w:val="0"/>
          <w:color w:val="333333"/>
          <w:sz w:val="28"/>
          <w:szCs w:val="28"/>
          <w:highlight w:val="none"/>
        </w:rPr>
      </w:r>
      <w:r>
        <w:rPr>
          <w:rFonts w:ascii="Tinos" w:hAnsi="Tinos" w:eastAsia="Tinos" w:cs="Tinos"/>
          <w:b w:val="0"/>
          <w:bCs w:val="0"/>
          <w:color w:val="333333"/>
          <w:sz w:val="28"/>
          <w:szCs w:val="28"/>
          <w:highlight w:val="none"/>
        </w:rPr>
        <w:t xml:space="preserve"> </w:t>
      </w:r>
      <w:r>
        <w:rPr>
          <w:rFonts w:ascii="Tinos" w:hAnsi="Tinos" w:eastAsia="Tinos" w:cs="Tinos"/>
          <w:b/>
          <w:bCs/>
          <w:color w:val="333333"/>
          <w:sz w:val="28"/>
          <w:szCs w:val="28"/>
          <w:highlight w:val="none"/>
        </w:rPr>
        <w:t xml:space="preserve">В Адыгее проводятся комплексные кадастровые работы</w:t>
      </w:r>
      <w:r>
        <w:rPr>
          <w:rFonts w:ascii="Tinos" w:hAnsi="Tinos" w:eastAsia="Tinos" w:cs="Tinos"/>
          <w:b w:val="0"/>
          <w:bCs w:val="0"/>
          <w:color w:val="333333"/>
          <w:sz w:val="28"/>
          <w:szCs w:val="28"/>
          <w:highlight w:val="none"/>
        </w:rPr>
      </w:r>
      <w:r>
        <w:rPr>
          <w:rFonts w:ascii="Tinos" w:hAnsi="Tinos" w:eastAsia="Tinos" w:cs="Tinos"/>
          <w:b w:val="0"/>
          <w:bCs w:val="0"/>
          <w:color w:val="333333"/>
          <w:sz w:val="28"/>
          <w:szCs w:val="28"/>
          <w:highlight w:val="none"/>
        </w:rPr>
      </w:r>
    </w:p>
    <w:p>
      <w:pPr>
        <w:jc w:val="both"/>
        <w:spacing w:before="100" w:beforeAutospacing="1" w:after="100" w:afterAutospacing="1" w:line="240" w:lineRule="auto"/>
        <w:rPr>
          <w:rFonts w:ascii="Tinos" w:hAnsi="Tinos" w:eastAsia="Tinos" w:cs="Tinos"/>
          <w:b w:val="0"/>
          <w:bCs w:val="0"/>
          <w:color w:val="333333"/>
          <w:sz w:val="28"/>
          <w:szCs w:val="28"/>
          <w:highlight w:val="none"/>
        </w:rPr>
        <w:outlineLvl w:val="1"/>
      </w:pPr>
      <w:r>
        <w:rPr>
          <w:rFonts w:ascii="Tinos" w:hAnsi="Tinos" w:eastAsia="Tinos" w:cs="Tinos"/>
          <w:b w:val="0"/>
          <w:bCs w:val="0"/>
          <w:color w:val="333333"/>
          <w:sz w:val="28"/>
          <w:szCs w:val="28"/>
          <w:highlight w:val="none"/>
        </w:rPr>
        <w:t xml:space="preserve">К</w:t>
      </w:r>
      <w:r>
        <w:rPr>
          <w:rFonts w:ascii="Tinos" w:hAnsi="Tinos" w:eastAsia="Tinos" w:cs="Tinos"/>
          <w:b w:val="0"/>
          <w:bCs w:val="0"/>
          <w:color w:val="333333"/>
          <w:sz w:val="28"/>
          <w:szCs w:val="28"/>
          <w:highlight w:val="none"/>
        </w:rPr>
        <w:t xml:space="preserve">омплексные кадастровые работы (ККР) проводятся в рамках государственной программы «Национальная система пространственных данных», направленной на развитие регионов, обеспечение полноты и качества данных, представленных в Едином государственном реест</w:t>
      </w:r>
      <w:r>
        <w:rPr>
          <w:rFonts w:ascii="Tinos" w:hAnsi="Tinos" w:eastAsia="Tinos" w:cs="Tinos"/>
          <w:b w:val="0"/>
          <w:bCs w:val="0"/>
          <w:color w:val="333333"/>
          <w:sz w:val="28"/>
          <w:szCs w:val="28"/>
          <w:highlight w:val="none"/>
        </w:rPr>
        <w:t xml:space="preserve">ре недвижимости.</w:t>
      </w:r>
      <w:r>
        <w:rPr>
          <w:rFonts w:ascii="Tinos" w:hAnsi="Tinos" w:eastAsia="Tinos" w:cs="Tinos"/>
          <w:b w:val="0"/>
          <w:bCs w:val="0"/>
          <w:color w:val="333333"/>
          <w:sz w:val="28"/>
          <w:szCs w:val="28"/>
          <w:highlight w:val="none"/>
        </w:rPr>
      </w:r>
      <w:r>
        <w:rPr>
          <w:rFonts w:ascii="Tinos" w:hAnsi="Tinos" w:eastAsia="Tinos" w:cs="Tinos"/>
          <w:b w:val="0"/>
          <w:bCs w:val="0"/>
          <w:color w:val="333333"/>
          <w:sz w:val="28"/>
          <w:szCs w:val="28"/>
          <w:highlight w:val="none"/>
        </w:rPr>
      </w:r>
    </w:p>
    <w:p>
      <w:pPr>
        <w:pStyle w:val="871"/>
        <w:rPr>
          <w:rFonts w:ascii="Tinos" w:hAnsi="Tinos" w:cs="Tinos"/>
          <w:sz w:val="20"/>
          <w:szCs w:val="20"/>
        </w:rPr>
      </w:pPr>
      <w:r>
        <w:rPr>
          <w:rFonts w:ascii="Tinos" w:hAnsi="Tinos" w:eastAsia="Tinos" w:cs="Tinos"/>
          <w:b w:val="0"/>
          <w:bCs w:val="0"/>
          <w:color w:val="3c4148"/>
          <w:sz w:val="28"/>
          <w:szCs w:val="28"/>
          <w:highlight w:val="none"/>
        </w:rPr>
      </w:r>
      <w:r>
        <w:rPr>
          <w:rFonts w:ascii="Tinos" w:hAnsi="Tinos" w:eastAsia="Tinos" w:cs="Tinos"/>
          <w:b w:val="0"/>
          <w:bCs w:val="0"/>
          <w:color w:val="3c4148"/>
          <w:sz w:val="28"/>
          <w:szCs w:val="28"/>
          <w:highlight w:val="none"/>
        </w:rPr>
      </w:r>
      <w:r>
        <w:rPr>
          <w:rFonts w:ascii="Tinos" w:hAnsi="Tinos" w:cs="Tinos"/>
          <w:sz w:val="20"/>
          <w:szCs w:val="20"/>
        </w:rPr>
      </w:r>
    </w:p>
    <w:p>
      <w:pPr>
        <w:ind w:left="0" w:right="0" w:firstLine="0"/>
        <w:jc w:val="both"/>
        <w:spacing w:after="0" w:line="57" w:lineRule="atLeast"/>
        <w:rPr>
          <w:sz w:val="28"/>
          <w:szCs w:val="28"/>
          <w:u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b w:val="0"/>
          <w:bCs w:val="0"/>
          <w:color w:val="3c4148"/>
          <w:sz w:val="28"/>
          <w:szCs w:val="28"/>
          <w:highlight w:val="none"/>
        </w:rPr>
        <w:t xml:space="preserve">08 сентября 2025 года в 09:30 пройдет заседание согласительной комиссии по вопросу согласования местоположения границ земельных участков, расположенных на территории кадастровых кварталов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u w:val="none"/>
        </w:rPr>
        <w:t xml:space="preserve">01:08:0508029 и 01:08:0508042 ( г. Майкоп).</w:t>
      </w:r>
      <w:r>
        <w:rPr>
          <w:sz w:val="28"/>
          <w:szCs w:val="28"/>
          <w:u w:val="none"/>
        </w:rPr>
      </w:r>
      <w:r>
        <w:rPr>
          <w:sz w:val="28"/>
          <w:szCs w:val="28"/>
          <w:u w:val="none"/>
        </w:rPr>
      </w:r>
    </w:p>
    <w:p>
      <w:pPr>
        <w:pStyle w:val="871"/>
        <w:rPr>
          <w:rFonts w:ascii="Tinos" w:hAnsi="Tinos" w:eastAsia="Tinos" w:cs="Tinos"/>
          <w:b w:val="0"/>
          <w:bCs w:val="0"/>
          <w:color w:val="3c4148"/>
          <w:sz w:val="28"/>
          <w:szCs w:val="28"/>
          <w:highlight w:val="none"/>
        </w:rPr>
      </w:pPr>
      <w:r>
        <w:rPr>
          <w:rFonts w:ascii="Tinos" w:hAnsi="Tinos" w:eastAsia="Tinos" w:cs="Tinos"/>
          <w:b w:val="0"/>
          <w:bCs w:val="0"/>
          <w:color w:val="3c4148"/>
          <w:sz w:val="28"/>
          <w:szCs w:val="28"/>
          <w:highlight w:val="none"/>
        </w:rPr>
      </w:r>
      <w:r>
        <w:rPr>
          <w:rFonts w:ascii="Tinos" w:hAnsi="Tinos" w:eastAsia="Tinos" w:cs="Tinos"/>
          <w:b w:val="0"/>
          <w:bCs w:val="0"/>
          <w:color w:val="3c4148"/>
          <w:sz w:val="28"/>
          <w:szCs w:val="28"/>
          <w:highlight w:val="none"/>
        </w:rPr>
      </w:r>
    </w:p>
    <w:p>
      <w:pPr>
        <w:ind w:left="0" w:right="0" w:firstLine="0"/>
        <w:jc w:val="both"/>
        <w:spacing w:after="0" w:line="57" w:lineRule="atLeast"/>
        <w:rPr>
          <w:rFonts w:ascii="Tinos" w:hAnsi="Tinos" w:cs="Tinos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b w:val="0"/>
          <w:bCs w:val="0"/>
          <w:color w:val="3c4148"/>
          <w:sz w:val="28"/>
          <w:szCs w:val="28"/>
          <w:highlight w:val="none"/>
        </w:rPr>
        <w:t xml:space="preserve">Д</w:t>
      </w:r>
      <w:r>
        <w:rPr>
          <w:rFonts w:ascii="Tinos" w:hAnsi="Tinos" w:eastAsia="Tinos" w:cs="Tinos"/>
          <w:b w:val="0"/>
          <w:bCs w:val="0"/>
          <w:color w:val="3c4148"/>
          <w:sz w:val="28"/>
          <w:szCs w:val="28"/>
          <w:highlight w:val="none"/>
        </w:rPr>
        <w:t xml:space="preserve">о этой даты можно подать в комиссию свои возражения относительно местоположения границ земельных участков.  Ознакомиться с извещениями о проведении заседания согласительной комиссии, содержащими в том числе правила подачи возражений, можно на официальном с</w:t>
      </w:r>
      <w:r>
        <w:rPr>
          <w:rFonts w:ascii="Tinos" w:hAnsi="Tinos" w:eastAsia="Tinos" w:cs="Tinos"/>
          <w:b w:val="0"/>
          <w:bCs w:val="0"/>
          <w:color w:val="3c4148"/>
          <w:sz w:val="28"/>
          <w:szCs w:val="28"/>
          <w:highlight w:val="none"/>
        </w:rPr>
        <w:t xml:space="preserve">айте </w:t>
      </w:r>
      <w:hyperlink r:id="rId10" w:tooltip="https://rosreestr.gov.ru/open-service/statistika-i-analitika/kompleksnye-kadastrovye-raboty-adygeya/izveshcheniya-o-provedenii-zasedaniya-soglasitelnoy-komissii-po-voprosu-mestopolozheniya-granits-zem/2025-352/" w:history="1">
        <w:r>
          <w:rPr>
            <w:rStyle w:val="863"/>
            <w:rFonts w:ascii="Tinos" w:hAnsi="Tinos" w:eastAsia="Tinos" w:cs="Tinos"/>
            <w:b w:val="0"/>
            <w:bCs w:val="0"/>
            <w:sz w:val="28"/>
            <w:szCs w:val="28"/>
            <w:highlight w:val="none"/>
          </w:rPr>
          <w:t xml:space="preserve">Росреестра</w:t>
        </w:r>
      </w:hyperlink>
      <w:r>
        <w:rPr>
          <w:rFonts w:ascii="Tinos" w:hAnsi="Tinos" w:eastAsia="Tinos" w:cs="Tinos"/>
          <w:b w:val="0"/>
          <w:bCs w:val="0"/>
          <w:color w:val="3c4148"/>
          <w:sz w:val="28"/>
          <w:szCs w:val="28"/>
          <w:highlight w:val="none"/>
        </w:rPr>
        <w:t xml:space="preserve"> </w:t>
      </w:r>
      <w:r>
        <w:rPr>
          <w:rFonts w:ascii="Tinos" w:hAnsi="Tinos" w:eastAsia="Tinos" w:cs="Tinos"/>
          <w:b w:val="0"/>
          <w:bCs w:val="0"/>
          <w:color w:val="3c4148"/>
          <w:sz w:val="28"/>
          <w:szCs w:val="28"/>
          <w:highlight w:val="none"/>
        </w:rPr>
        <w:t xml:space="preserve">(https://rosreestr.gov.ru/open-service/statistika-i-analitika/kompleksnye-kadastrovye-raboty-adygeya/izveshcheniya-o-provedenii-zasedaniya-soglasitelnoy-komissii-po-voprosu-mestopolozheniya-granits-zem/2025-352/</w:t>
      </w:r>
      <w:r>
        <w:rPr>
          <w:rFonts w:ascii="Tinos" w:hAnsi="Tinos" w:eastAsia="Tinos" w:cs="Tinos"/>
          <w:b w:val="0"/>
          <w:bCs w:val="0"/>
          <w:color w:val="3c4148"/>
          <w:sz w:val="28"/>
          <w:szCs w:val="28"/>
          <w:highlight w:val="none"/>
        </w:rPr>
        <w:t xml:space="preserve">)</w:t>
      </w:r>
      <w:r>
        <w:rPr>
          <w:rFonts w:ascii="Tinos" w:hAnsi="Tinos" w:eastAsia="Tinos" w:cs="Tinos"/>
          <w:b w:val="0"/>
          <w:bCs w:val="0"/>
          <w:color w:val="3c4148"/>
          <w:sz w:val="28"/>
          <w:szCs w:val="28"/>
          <w:highlight w:val="none"/>
        </w:rPr>
        <w:t xml:space="preserve">, </w:t>
      </w:r>
      <w:r>
        <w:rPr>
          <w:rFonts w:ascii="Tinos" w:hAnsi="Tinos" w:eastAsia="Tinos" w:cs="Tinos"/>
          <w:b w:val="0"/>
          <w:bCs w:val="0"/>
          <w:color w:val="3c4148"/>
          <w:sz w:val="28"/>
          <w:szCs w:val="28"/>
          <w:highlight w:val="none"/>
          <w:u w:val="none"/>
        </w:rPr>
        <w:t xml:space="preserve">а также на официальном сайте</w:t>
      </w:r>
      <w:r>
        <w:rPr>
          <w:rFonts w:ascii="Tinos" w:hAnsi="Tinos" w:eastAsia="Tinos" w:cs="Tinos"/>
          <w:color w:val="000000"/>
          <w:sz w:val="28"/>
          <w:szCs w:val="28"/>
          <w:u w:val="none"/>
        </w:rPr>
        <w:t xml:space="preserve"> </w:t>
      </w:r>
      <w:hyperlink r:id="rId11" w:tooltip="http://www.adygheya.ru" w:history="1">
        <w:r>
          <w:rPr>
            <w:rStyle w:val="863"/>
            <w:rFonts w:ascii="Tinos" w:hAnsi="Tinos" w:eastAsia="Tinos" w:cs="Tinos"/>
            <w:sz w:val="28"/>
            <w:szCs w:val="28"/>
          </w:rPr>
          <w:t xml:space="preserve">Комитета Республики Адыгея по имущественным отношениям</w:t>
        </w:r>
      </w:hyperlink>
      <w:r>
        <w:rPr>
          <w:rFonts w:ascii="Tinos" w:hAnsi="Tinos" w:eastAsia="Tinos" w:cs="Tinos"/>
          <w:color w:val="000000"/>
          <w:sz w:val="28"/>
          <w:szCs w:val="28"/>
          <w:u w:val="none"/>
        </w:rPr>
        <w:t xml:space="preserve"> (</w:t>
      </w:r>
      <w:r>
        <w:rPr>
          <w:rFonts w:ascii="Tinos" w:hAnsi="Tinos" w:eastAsia="Tinos" w:cs="Tinos"/>
          <w:color w:val="000000"/>
          <w:sz w:val="28"/>
          <w:szCs w:val="28"/>
          <w:u w:val="single"/>
        </w:rPr>
        <w:t xml:space="preserve">www.adygheya.ru)</w:t>
      </w:r>
      <w:r>
        <w:rPr>
          <w:rFonts w:ascii="Tinos" w:hAnsi="Tinos" w:eastAsia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</w:p>
    <w:p>
      <w:pPr>
        <w:ind w:left="0" w:right="0" w:firstLine="0"/>
        <w:jc w:val="both"/>
        <w:spacing w:after="0" w:line="57" w:lineRule="atLeast"/>
        <w:rPr>
          <w:rFonts w:ascii="Tinos" w:hAnsi="Tinos" w:cs="Tinos"/>
          <w:sz w:val="28"/>
          <w:szCs w:val="28"/>
          <w:u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000000"/>
          <w:sz w:val="28"/>
          <w:szCs w:val="28"/>
          <w:u w:val="none"/>
        </w:rPr>
      </w:r>
      <w:r>
        <w:rPr>
          <w:rFonts w:ascii="Tinos" w:hAnsi="Tinos" w:eastAsia="Tinos" w:cs="Tinos"/>
          <w:sz w:val="28"/>
          <w:szCs w:val="28"/>
        </w:rPr>
      </w:r>
      <w:r>
        <w:rPr>
          <w:rFonts w:ascii="Tinos" w:hAnsi="Tinos" w:cs="Tinos"/>
          <w:sz w:val="28"/>
          <w:szCs w:val="28"/>
          <w:u w:val="none"/>
        </w:rPr>
      </w:r>
    </w:p>
    <w:p>
      <w:pPr>
        <w:pStyle w:val="871"/>
        <w:rPr>
          <w:rFonts w:ascii="Tinos" w:hAnsi="Tinos" w:cs="Tinos"/>
          <w:b w:val="0"/>
          <w:bCs w:val="0"/>
          <w:color w:val="3c4148"/>
          <w:sz w:val="28"/>
          <w:szCs w:val="28"/>
          <w:highlight w:val="none"/>
          <w:u w:val="none"/>
        </w:rPr>
      </w:pPr>
      <w:r>
        <w:rPr>
          <w:rFonts w:ascii="Tinos" w:hAnsi="Tinos" w:eastAsia="Tinos" w:cs="Tinos"/>
          <w:b w:val="0"/>
          <w:bCs w:val="0"/>
          <w:color w:val="3c4148"/>
          <w:sz w:val="28"/>
          <w:szCs w:val="28"/>
          <w:highlight w:val="none"/>
          <w:u w:val="none"/>
        </w:rPr>
      </w:r>
      <w:r>
        <w:rPr>
          <w:rFonts w:ascii="Tinos" w:hAnsi="Tinos" w:eastAsia="Tinos" w:cs="Tinos"/>
          <w:sz w:val="28"/>
          <w:szCs w:val="28"/>
          <w:u w:val="none"/>
        </w:rPr>
      </w:r>
      <w:r>
        <w:rPr>
          <w:rFonts w:ascii="Tinos" w:hAnsi="Tinos" w:cs="Tinos"/>
          <w:b w:val="0"/>
          <w:bCs w:val="0"/>
          <w:color w:val="3c4148"/>
          <w:sz w:val="28"/>
          <w:szCs w:val="28"/>
          <w:highlight w:val="none"/>
          <w:u w:val="none"/>
        </w:rPr>
      </w:r>
    </w:p>
    <w:p>
      <w:pPr>
        <w:pStyle w:val="871"/>
        <w:rPr>
          <w:rFonts w:ascii="Tinos" w:hAnsi="Tinos" w:eastAsia="Tinos" w:cs="Tinos"/>
          <w:b w:val="0"/>
          <w:bCs w:val="0"/>
          <w:color w:val="3c4148"/>
          <w:sz w:val="28"/>
          <w:szCs w:val="28"/>
          <w:highlight w:val="none"/>
        </w:rPr>
      </w:pPr>
      <w:r>
        <w:rPr>
          <w:rFonts w:ascii="Tinos" w:hAnsi="Tinos" w:eastAsia="Tinos" w:cs="Tinos"/>
          <w:b w:val="0"/>
          <w:bCs w:val="0"/>
          <w:color w:val="3c4148"/>
          <w:sz w:val="28"/>
          <w:szCs w:val="28"/>
          <w:highlight w:val="none"/>
        </w:rPr>
      </w:r>
      <w:r>
        <w:rPr>
          <w:rFonts w:ascii="Tinos" w:hAnsi="Tinos" w:eastAsia="Tinos" w:cs="Tinos"/>
          <w:b w:val="0"/>
          <w:bCs w:val="0"/>
          <w:color w:val="3c4148"/>
          <w:sz w:val="28"/>
          <w:szCs w:val="28"/>
          <w:highlight w:val="none"/>
        </w:rPr>
      </w:r>
      <w:r>
        <w:rPr>
          <w:rFonts w:ascii="Tinos" w:hAnsi="Tinos" w:eastAsia="Tinos" w:cs="Tinos"/>
          <w:b w:val="0"/>
          <w:bCs w:val="0"/>
          <w:color w:val="3c4148"/>
          <w:sz w:val="28"/>
          <w:szCs w:val="28"/>
          <w:highlight w:val="none"/>
        </w:rPr>
      </w:r>
    </w:p>
    <w:p>
      <w:pPr>
        <w:pStyle w:val="871"/>
        <w:rPr>
          <w:rFonts w:ascii="Tinos" w:hAnsi="Tinos" w:eastAsia="Tinos" w:cs="Tinos"/>
          <w:b w:val="0"/>
          <w:bCs w:val="0"/>
          <w:color w:val="3c4148"/>
          <w:sz w:val="28"/>
          <w:szCs w:val="28"/>
          <w:highlight w:val="none"/>
        </w:rPr>
      </w:pPr>
      <w:r>
        <w:rPr>
          <w:rFonts w:ascii="Tinos" w:hAnsi="Tinos" w:eastAsia="Tinos" w:cs="Tinos"/>
          <w:b w:val="0"/>
          <w:bCs w:val="0"/>
          <w:color w:val="3c4148"/>
          <w:sz w:val="28"/>
          <w:szCs w:val="28"/>
          <w:highlight w:val="none"/>
        </w:rPr>
      </w:r>
      <w:r>
        <w:rPr>
          <w:rFonts w:ascii="Tinos" w:hAnsi="Tinos" w:eastAsia="Tinos" w:cs="Tinos"/>
          <w:b w:val="0"/>
          <w:bCs w:val="0"/>
          <w:color w:val="3c4148"/>
          <w:sz w:val="28"/>
          <w:szCs w:val="28"/>
          <w:highlight w:val="none"/>
        </w:rPr>
      </w:r>
      <w:r>
        <w:rPr>
          <w:rFonts w:ascii="Tinos" w:hAnsi="Tinos" w:eastAsia="Tinos" w:cs="Tinos"/>
          <w:b w:val="0"/>
          <w:bCs w:val="0"/>
          <w:color w:val="3c4148"/>
          <w:sz w:val="28"/>
          <w:szCs w:val="28"/>
          <w:highlight w:val="none"/>
        </w:rPr>
      </w:r>
    </w:p>
    <w:sectPr>
      <w:footnotePr/>
      <w:endnotePr/>
      <w:type w:val="nextPage"/>
      <w:pgSz w:w="11906" w:h="16838" w:orient="portrait"/>
      <w:pgMar w:top="907" w:right="851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nos">
    <w:panose1 w:val="02020603050405020304"/>
  </w:font>
  <w:font w:name="Times New Roman">
    <w:panose1 w:val="02020603050405020304"/>
  </w:font>
  <w:font w:name="Wingdings">
    <w:panose1 w:val="05010000000000000000"/>
  </w:font>
  <w:font w:name="Courier New">
    <w:panose1 w:val="02070409020205020404"/>
  </w:font>
  <w:font w:name="Symbol">
    <w:panose1 w:val="05010000000000000000"/>
  </w:font>
  <w:font w:name="Times New Roman CYR">
    <w:panose1 w:val="02000603000000000000"/>
  </w:font>
  <w:font w:name="Segoe UI">
    <w:panose1 w:val="020B05020405040202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4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7" w:hanging="180"/>
      </w:pPr>
    </w:lvl>
  </w:abstractNum>
  <w:abstractNum w:abstractNumId="4">
    <w:multiLevelType w:val="hybridMultilevel"/>
    <w:lvl w:ilvl="0">
      <w:start w:val="10"/>
      <w:numFmt w:val="decimal"/>
      <w:isLgl w:val="false"/>
      <w:suff w:val="tab"/>
      <w:lvlText w:val="%1"/>
      <w:lvlJc w:val="left"/>
      <w:pPr>
        <w:ind w:left="720" w:hanging="360"/>
      </w:pPr>
      <w:rPr>
        <w:rFonts w:hint="default"/>
        <w:b/>
        <w:color w:val="auto"/>
        <w:sz w:val="27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7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9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>
    <w:multiLevelType w:val="hybridMultilevel"/>
    <w:lvl w:ilvl="0">
      <w:start w:val="3"/>
      <w:numFmt w:val="decimal"/>
      <w:isLgl w:val="false"/>
      <w:suff w:val="tab"/>
      <w:lvlText w:val="%1"/>
      <w:lvlJc w:val="left"/>
      <w:pPr>
        <w:ind w:left="720" w:hanging="360"/>
      </w:pPr>
      <w:rPr>
        <w:rFonts w:hint="default"/>
        <w:b/>
        <w:color w:val="auto"/>
        <w:sz w:val="27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2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  <w:color w:val="292c2f"/>
        <w:sz w:val="24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  <w:color w:val="292c2f"/>
        <w:sz w:val="24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  <w:color w:val="292c2f"/>
        <w:sz w:val="24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  <w:color w:val="292c2f"/>
        <w:sz w:val="24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  <w:color w:val="292c2f"/>
        <w:sz w:val="24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  <w:color w:val="292c2f"/>
        <w:sz w:val="24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  <w:color w:val="292c2f"/>
        <w:sz w:val="24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  <w:color w:val="292c2f"/>
        <w:sz w:val="24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  <w:color w:val="292c2f"/>
        <w:sz w:val="24"/>
      </w:rPr>
    </w:lvl>
  </w:abstractNum>
  <w:num w:numId="1">
    <w:abstractNumId w:val="8"/>
  </w:num>
  <w:num w:numId="2">
    <w:abstractNumId w:val="3"/>
  </w:num>
  <w:num w:numId="3">
    <w:abstractNumId w:val="6"/>
  </w:num>
  <w:num w:numId="4">
    <w:abstractNumId w:val="11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5"/>
  </w:num>
  <w:num w:numId="10">
    <w:abstractNumId w:val="10"/>
  </w:num>
  <w:num w:numId="11">
    <w:abstractNumId w:val="2"/>
  </w:num>
  <w:num w:numId="12">
    <w:abstractNumId w:val="4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80">
    <w:name w:val="Heading 1 Char"/>
    <w:basedOn w:val="855"/>
    <w:link w:val="854"/>
    <w:uiPriority w:val="9"/>
    <w:rPr>
      <w:rFonts w:ascii="Arial" w:hAnsi="Arial" w:eastAsia="Arial" w:cs="Arial"/>
      <w:sz w:val="40"/>
      <w:szCs w:val="40"/>
    </w:rPr>
  </w:style>
  <w:style w:type="paragraph" w:styleId="681">
    <w:name w:val="Heading 2"/>
    <w:basedOn w:val="853"/>
    <w:next w:val="853"/>
    <w:link w:val="682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82">
    <w:name w:val="Heading 2 Char"/>
    <w:basedOn w:val="855"/>
    <w:link w:val="681"/>
    <w:uiPriority w:val="9"/>
    <w:rPr>
      <w:rFonts w:ascii="Arial" w:hAnsi="Arial" w:eastAsia="Arial" w:cs="Arial"/>
      <w:sz w:val="34"/>
    </w:rPr>
  </w:style>
  <w:style w:type="paragraph" w:styleId="683">
    <w:name w:val="Heading 3"/>
    <w:basedOn w:val="853"/>
    <w:next w:val="853"/>
    <w:link w:val="684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84">
    <w:name w:val="Heading 3 Char"/>
    <w:basedOn w:val="855"/>
    <w:link w:val="683"/>
    <w:uiPriority w:val="9"/>
    <w:rPr>
      <w:rFonts w:ascii="Arial" w:hAnsi="Arial" w:eastAsia="Arial" w:cs="Arial"/>
      <w:sz w:val="30"/>
      <w:szCs w:val="30"/>
    </w:rPr>
  </w:style>
  <w:style w:type="paragraph" w:styleId="685">
    <w:name w:val="Heading 4"/>
    <w:basedOn w:val="853"/>
    <w:next w:val="853"/>
    <w:link w:val="686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86">
    <w:name w:val="Heading 4 Char"/>
    <w:basedOn w:val="855"/>
    <w:link w:val="685"/>
    <w:uiPriority w:val="9"/>
    <w:rPr>
      <w:rFonts w:ascii="Arial" w:hAnsi="Arial" w:eastAsia="Arial" w:cs="Arial"/>
      <w:b/>
      <w:bCs/>
      <w:sz w:val="26"/>
      <w:szCs w:val="26"/>
    </w:rPr>
  </w:style>
  <w:style w:type="paragraph" w:styleId="687">
    <w:name w:val="Heading 5"/>
    <w:basedOn w:val="853"/>
    <w:next w:val="853"/>
    <w:link w:val="688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88">
    <w:name w:val="Heading 5 Char"/>
    <w:basedOn w:val="855"/>
    <w:link w:val="687"/>
    <w:uiPriority w:val="9"/>
    <w:rPr>
      <w:rFonts w:ascii="Arial" w:hAnsi="Arial" w:eastAsia="Arial" w:cs="Arial"/>
      <w:b/>
      <w:bCs/>
      <w:sz w:val="24"/>
      <w:szCs w:val="24"/>
    </w:rPr>
  </w:style>
  <w:style w:type="paragraph" w:styleId="689">
    <w:name w:val="Heading 6"/>
    <w:basedOn w:val="853"/>
    <w:next w:val="853"/>
    <w:link w:val="690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90">
    <w:name w:val="Heading 6 Char"/>
    <w:basedOn w:val="855"/>
    <w:link w:val="689"/>
    <w:uiPriority w:val="9"/>
    <w:rPr>
      <w:rFonts w:ascii="Arial" w:hAnsi="Arial" w:eastAsia="Arial" w:cs="Arial"/>
      <w:b/>
      <w:bCs/>
      <w:sz w:val="22"/>
      <w:szCs w:val="22"/>
    </w:rPr>
  </w:style>
  <w:style w:type="paragraph" w:styleId="691">
    <w:name w:val="Heading 7"/>
    <w:basedOn w:val="853"/>
    <w:next w:val="853"/>
    <w:link w:val="692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92">
    <w:name w:val="Heading 7 Char"/>
    <w:basedOn w:val="855"/>
    <w:link w:val="691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93">
    <w:name w:val="Heading 8"/>
    <w:basedOn w:val="853"/>
    <w:next w:val="853"/>
    <w:link w:val="694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94">
    <w:name w:val="Heading 8 Char"/>
    <w:basedOn w:val="855"/>
    <w:link w:val="693"/>
    <w:uiPriority w:val="9"/>
    <w:rPr>
      <w:rFonts w:ascii="Arial" w:hAnsi="Arial" w:eastAsia="Arial" w:cs="Arial"/>
      <w:i/>
      <w:iCs/>
      <w:sz w:val="22"/>
      <w:szCs w:val="22"/>
    </w:rPr>
  </w:style>
  <w:style w:type="paragraph" w:styleId="695">
    <w:name w:val="Heading 9"/>
    <w:basedOn w:val="853"/>
    <w:next w:val="853"/>
    <w:link w:val="696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96">
    <w:name w:val="Heading 9 Char"/>
    <w:basedOn w:val="855"/>
    <w:link w:val="695"/>
    <w:uiPriority w:val="9"/>
    <w:rPr>
      <w:rFonts w:ascii="Arial" w:hAnsi="Arial" w:eastAsia="Arial" w:cs="Arial"/>
      <w:i/>
      <w:iCs/>
      <w:sz w:val="21"/>
      <w:szCs w:val="21"/>
    </w:rPr>
  </w:style>
  <w:style w:type="paragraph" w:styleId="697">
    <w:name w:val="Title"/>
    <w:basedOn w:val="853"/>
    <w:next w:val="853"/>
    <w:link w:val="698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98">
    <w:name w:val="Title Char"/>
    <w:basedOn w:val="855"/>
    <w:link w:val="697"/>
    <w:uiPriority w:val="10"/>
    <w:rPr>
      <w:sz w:val="48"/>
      <w:szCs w:val="48"/>
    </w:rPr>
  </w:style>
  <w:style w:type="paragraph" w:styleId="699">
    <w:name w:val="Subtitle"/>
    <w:basedOn w:val="853"/>
    <w:next w:val="853"/>
    <w:link w:val="700"/>
    <w:uiPriority w:val="11"/>
    <w:qFormat/>
    <w:pPr>
      <w:spacing w:before="200" w:after="200"/>
    </w:pPr>
    <w:rPr>
      <w:sz w:val="24"/>
      <w:szCs w:val="24"/>
    </w:rPr>
  </w:style>
  <w:style w:type="character" w:styleId="700">
    <w:name w:val="Subtitle Char"/>
    <w:basedOn w:val="855"/>
    <w:link w:val="699"/>
    <w:uiPriority w:val="11"/>
    <w:rPr>
      <w:sz w:val="24"/>
      <w:szCs w:val="24"/>
    </w:rPr>
  </w:style>
  <w:style w:type="paragraph" w:styleId="701">
    <w:name w:val="Quote"/>
    <w:basedOn w:val="853"/>
    <w:next w:val="853"/>
    <w:link w:val="702"/>
    <w:uiPriority w:val="29"/>
    <w:qFormat/>
    <w:pPr>
      <w:ind w:left="720" w:right="720"/>
    </w:pPr>
    <w:rPr>
      <w:i/>
    </w:rPr>
  </w:style>
  <w:style w:type="character" w:styleId="702">
    <w:name w:val="Quote Char"/>
    <w:link w:val="701"/>
    <w:uiPriority w:val="29"/>
    <w:rPr>
      <w:i/>
    </w:rPr>
  </w:style>
  <w:style w:type="paragraph" w:styleId="703">
    <w:name w:val="Intense Quote"/>
    <w:basedOn w:val="853"/>
    <w:next w:val="853"/>
    <w:link w:val="704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04">
    <w:name w:val="Intense Quote Char"/>
    <w:link w:val="703"/>
    <w:uiPriority w:val="30"/>
    <w:rPr>
      <w:i/>
    </w:rPr>
  </w:style>
  <w:style w:type="paragraph" w:styleId="705">
    <w:name w:val="Header"/>
    <w:basedOn w:val="853"/>
    <w:link w:val="70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6">
    <w:name w:val="Header Char"/>
    <w:basedOn w:val="855"/>
    <w:link w:val="705"/>
    <w:uiPriority w:val="99"/>
  </w:style>
  <w:style w:type="paragraph" w:styleId="707">
    <w:name w:val="Footer"/>
    <w:basedOn w:val="853"/>
    <w:link w:val="710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8">
    <w:name w:val="Footer Char"/>
    <w:basedOn w:val="855"/>
    <w:link w:val="707"/>
    <w:uiPriority w:val="99"/>
  </w:style>
  <w:style w:type="paragraph" w:styleId="709">
    <w:name w:val="Caption"/>
    <w:basedOn w:val="853"/>
    <w:next w:val="853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10">
    <w:name w:val="Caption Char"/>
    <w:basedOn w:val="709"/>
    <w:link w:val="707"/>
    <w:uiPriority w:val="99"/>
  </w:style>
  <w:style w:type="table" w:styleId="711">
    <w:name w:val="Table Grid"/>
    <w:basedOn w:val="856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2">
    <w:name w:val="Table Grid Light"/>
    <w:basedOn w:val="856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3">
    <w:name w:val="Plain Table 1"/>
    <w:basedOn w:val="856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4">
    <w:name w:val="Plain Table 2"/>
    <w:basedOn w:val="856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5">
    <w:name w:val="Plain Table 3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16">
    <w:name w:val="Plain Table 4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7">
    <w:name w:val="Plain Table 5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18">
    <w:name w:val="Grid Table 1 Light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9">
    <w:name w:val="Grid Table 1 Light - Accent 1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0">
    <w:name w:val="Grid Table 1 Light - Accent 2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1">
    <w:name w:val="Grid Table 1 Light - Accent 3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2">
    <w:name w:val="Grid Table 1 Light - Accent 4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3">
    <w:name w:val="Grid Table 1 Light - Accent 5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4">
    <w:name w:val="Grid Table 1 Light - Accent 6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5">
    <w:name w:val="Grid Table 2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>
    <w:name w:val="Grid Table 2 - Accent 1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>
    <w:name w:val="Grid Table 2 - Accent 2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Grid Table 2 - Accent 3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Grid Table 2 - Accent 4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Grid Table 2 - Accent 5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Grid Table 2 - Accent 6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>
    <w:name w:val="Grid Table 3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>
    <w:name w:val="Grid Table 3 - Accent 1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Grid Table 3 - Accent 2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Grid Table 3 - Accent 3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3 - Accent 4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3 - Accent 5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3 - Accent 6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4"/>
    <w:basedOn w:val="85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40">
    <w:name w:val="Grid Table 4 - Accent 1"/>
    <w:basedOn w:val="85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41">
    <w:name w:val="Grid Table 4 - Accent 2"/>
    <w:basedOn w:val="85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42">
    <w:name w:val="Grid Table 4 - Accent 3"/>
    <w:basedOn w:val="85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43">
    <w:name w:val="Grid Table 4 - Accent 4"/>
    <w:basedOn w:val="85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44">
    <w:name w:val="Grid Table 4 - Accent 5"/>
    <w:basedOn w:val="85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45">
    <w:name w:val="Grid Table 4 - Accent 6"/>
    <w:basedOn w:val="85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46">
    <w:name w:val="Grid Table 5 Dark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47">
    <w:name w:val="Grid Table 5 Dark- Accent 1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48">
    <w:name w:val="Grid Table 5 Dark - Accent 2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49">
    <w:name w:val="Grid Table 5 Dark - Accent 3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50">
    <w:name w:val="Grid Table 5 Dark- Accent 4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51">
    <w:name w:val="Grid Table 5 Dark - Accent 5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52">
    <w:name w:val="Grid Table 5 Dark - Accent 6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53">
    <w:name w:val="Grid Table 6 Colorful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54">
    <w:name w:val="Grid Table 6 Colorful - Accent 1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55">
    <w:name w:val="Grid Table 6 Colorful - Accent 2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56">
    <w:name w:val="Grid Table 6 Colorful - Accent 3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57">
    <w:name w:val="Grid Table 6 Colorful - Accent 4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58">
    <w:name w:val="Grid Table 6 Colorful - Accent 5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9">
    <w:name w:val="Grid Table 6 Colorful - Accent 6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60">
    <w:name w:val="Grid Table 7 Colorful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Grid Table 7 Colorful - Accent 1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Grid Table 7 Colorful - Accent 2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Grid Table 7 Colorful - Accent 3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Grid Table 7 Colorful - Accent 4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Grid Table 7 Colorful - Accent 5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Grid Table 7 Colorful - Accent 6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List Table 1 Light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List Table 1 Light - Accent 1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List Table 1 Light - Accent 2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List Table 1 Light - Accent 3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List Table 1 Light - Accent 4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List Table 1 Light - Accent 5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>
    <w:name w:val="List Table 1 Light - Accent 6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>
    <w:name w:val="List Table 2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75">
    <w:name w:val="List Table 2 - Accent 1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76">
    <w:name w:val="List Table 2 - Accent 2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77">
    <w:name w:val="List Table 2 - Accent 3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78">
    <w:name w:val="List Table 2 - Accent 4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79">
    <w:name w:val="List Table 2 - Accent 5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80">
    <w:name w:val="List Table 2 - Accent 6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81">
    <w:name w:val="List Table 3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>
    <w:name w:val="List Table 3 - Accent 1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>
    <w:name w:val="List Table 3 - Accent 2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>
    <w:name w:val="List Table 3 - Accent 3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>
    <w:name w:val="List Table 3 - Accent 4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>
    <w:name w:val="List Table 3 - Accent 5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>
    <w:name w:val="List Table 3 - Accent 6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>
    <w:name w:val="List Table 4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>
    <w:name w:val="List Table 4 - Accent 1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>
    <w:name w:val="List Table 4 - Accent 2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List Table 4 - Accent 3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List Table 4 - Accent 4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>
    <w:name w:val="List Table 4 - Accent 5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>
    <w:name w:val="List Table 4 - Accent 6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5">
    <w:name w:val="List Table 5 Dark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6">
    <w:name w:val="List Table 5 Dark - Accent 1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7">
    <w:name w:val="List Table 5 Dark - Accent 2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8">
    <w:name w:val="List Table 5 Dark - Accent 3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9">
    <w:name w:val="List Table 5 Dark - Accent 4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0">
    <w:name w:val="List Table 5 Dark - Accent 5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1">
    <w:name w:val="List Table 5 Dark - Accent 6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2">
    <w:name w:val="List Table 6 Colorful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03">
    <w:name w:val="List Table 6 Colorful - Accent 1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04">
    <w:name w:val="List Table 6 Colorful - Accent 2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05">
    <w:name w:val="List Table 6 Colorful - Accent 3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06">
    <w:name w:val="List Table 6 Colorful - Accent 4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07">
    <w:name w:val="List Table 6 Colorful - Accent 5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08">
    <w:name w:val="List Table 6 Colorful - Accent 6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09">
    <w:name w:val="List Table 7 Colorful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10">
    <w:name w:val="List Table 7 Colorful - Accent 1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811">
    <w:name w:val="List Table 7 Colorful - Accent 2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812">
    <w:name w:val="List Table 7 Colorful - Accent 3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813">
    <w:name w:val="List Table 7 Colorful - Accent 4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814">
    <w:name w:val="List Table 7 Colorful - Accent 5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815">
    <w:name w:val="List Table 7 Colorful - Accent 6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816">
    <w:name w:val="Lined - Accent"/>
    <w:basedOn w:val="8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17">
    <w:name w:val="Lined - Accent 1"/>
    <w:basedOn w:val="8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18">
    <w:name w:val="Lined - Accent 2"/>
    <w:basedOn w:val="8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19">
    <w:name w:val="Lined - Accent 3"/>
    <w:basedOn w:val="8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20">
    <w:name w:val="Lined - Accent 4"/>
    <w:basedOn w:val="8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21">
    <w:name w:val="Lined - Accent 5"/>
    <w:basedOn w:val="8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22">
    <w:name w:val="Lined - Accent 6"/>
    <w:basedOn w:val="8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23">
    <w:name w:val="Bordered &amp; Lined - Accent"/>
    <w:basedOn w:val="8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4">
    <w:name w:val="Bordered &amp; Lined - Accent 1"/>
    <w:basedOn w:val="8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25">
    <w:name w:val="Bordered &amp; Lined - Accent 2"/>
    <w:basedOn w:val="8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26">
    <w:name w:val="Bordered &amp; Lined - Accent 3"/>
    <w:basedOn w:val="8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27">
    <w:name w:val="Bordered &amp; Lined - Accent 4"/>
    <w:basedOn w:val="8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28">
    <w:name w:val="Bordered &amp; Lined - Accent 5"/>
    <w:basedOn w:val="8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29">
    <w:name w:val="Bordered &amp; Lined - Accent 6"/>
    <w:basedOn w:val="8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30">
    <w:name w:val="Bordered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31">
    <w:name w:val="Bordered - Accent 1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32">
    <w:name w:val="Bordered - Accent 2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33">
    <w:name w:val="Bordered - Accent 3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34">
    <w:name w:val="Bordered - Accent 4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35">
    <w:name w:val="Bordered - Accent 5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36">
    <w:name w:val="Bordered - Accent 6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37">
    <w:name w:val="footnote text"/>
    <w:basedOn w:val="853"/>
    <w:link w:val="838"/>
    <w:uiPriority w:val="99"/>
    <w:semiHidden/>
    <w:unhideWhenUsed/>
    <w:pPr>
      <w:spacing w:after="40" w:line="240" w:lineRule="auto"/>
    </w:pPr>
    <w:rPr>
      <w:sz w:val="18"/>
    </w:rPr>
  </w:style>
  <w:style w:type="character" w:styleId="838">
    <w:name w:val="Footnote Text Char"/>
    <w:link w:val="837"/>
    <w:uiPriority w:val="99"/>
    <w:rPr>
      <w:sz w:val="18"/>
    </w:rPr>
  </w:style>
  <w:style w:type="character" w:styleId="839">
    <w:name w:val="footnote reference"/>
    <w:basedOn w:val="855"/>
    <w:uiPriority w:val="99"/>
    <w:unhideWhenUsed/>
    <w:rPr>
      <w:vertAlign w:val="superscript"/>
    </w:rPr>
  </w:style>
  <w:style w:type="paragraph" w:styleId="840">
    <w:name w:val="endnote text"/>
    <w:basedOn w:val="853"/>
    <w:link w:val="841"/>
    <w:uiPriority w:val="99"/>
    <w:semiHidden/>
    <w:unhideWhenUsed/>
    <w:pPr>
      <w:spacing w:after="0" w:line="240" w:lineRule="auto"/>
    </w:pPr>
    <w:rPr>
      <w:sz w:val="20"/>
    </w:rPr>
  </w:style>
  <w:style w:type="character" w:styleId="841">
    <w:name w:val="Endnote Text Char"/>
    <w:link w:val="840"/>
    <w:uiPriority w:val="99"/>
    <w:rPr>
      <w:sz w:val="20"/>
    </w:rPr>
  </w:style>
  <w:style w:type="character" w:styleId="842">
    <w:name w:val="endnote reference"/>
    <w:basedOn w:val="855"/>
    <w:uiPriority w:val="99"/>
    <w:semiHidden/>
    <w:unhideWhenUsed/>
    <w:rPr>
      <w:vertAlign w:val="superscript"/>
    </w:rPr>
  </w:style>
  <w:style w:type="paragraph" w:styleId="843">
    <w:name w:val="toc 1"/>
    <w:basedOn w:val="853"/>
    <w:next w:val="853"/>
    <w:uiPriority w:val="39"/>
    <w:unhideWhenUsed/>
    <w:pPr>
      <w:ind w:left="0" w:right="0" w:firstLine="0"/>
      <w:spacing w:after="57"/>
    </w:pPr>
  </w:style>
  <w:style w:type="paragraph" w:styleId="844">
    <w:name w:val="toc 2"/>
    <w:basedOn w:val="853"/>
    <w:next w:val="853"/>
    <w:uiPriority w:val="39"/>
    <w:unhideWhenUsed/>
    <w:pPr>
      <w:ind w:left="283" w:right="0" w:firstLine="0"/>
      <w:spacing w:after="57"/>
    </w:pPr>
  </w:style>
  <w:style w:type="paragraph" w:styleId="845">
    <w:name w:val="toc 3"/>
    <w:basedOn w:val="853"/>
    <w:next w:val="853"/>
    <w:uiPriority w:val="39"/>
    <w:unhideWhenUsed/>
    <w:pPr>
      <w:ind w:left="567" w:right="0" w:firstLine="0"/>
      <w:spacing w:after="57"/>
    </w:pPr>
  </w:style>
  <w:style w:type="paragraph" w:styleId="846">
    <w:name w:val="toc 5"/>
    <w:basedOn w:val="853"/>
    <w:next w:val="853"/>
    <w:uiPriority w:val="39"/>
    <w:unhideWhenUsed/>
    <w:pPr>
      <w:ind w:left="1134" w:right="0" w:firstLine="0"/>
      <w:spacing w:after="57"/>
    </w:pPr>
  </w:style>
  <w:style w:type="paragraph" w:styleId="847">
    <w:name w:val="toc 6"/>
    <w:basedOn w:val="853"/>
    <w:next w:val="853"/>
    <w:uiPriority w:val="39"/>
    <w:unhideWhenUsed/>
    <w:pPr>
      <w:ind w:left="1417" w:right="0" w:firstLine="0"/>
      <w:spacing w:after="57"/>
    </w:pPr>
  </w:style>
  <w:style w:type="paragraph" w:styleId="848">
    <w:name w:val="toc 7"/>
    <w:basedOn w:val="853"/>
    <w:next w:val="853"/>
    <w:uiPriority w:val="39"/>
    <w:unhideWhenUsed/>
    <w:pPr>
      <w:ind w:left="1701" w:right="0" w:firstLine="0"/>
      <w:spacing w:after="57"/>
    </w:pPr>
  </w:style>
  <w:style w:type="paragraph" w:styleId="849">
    <w:name w:val="toc 8"/>
    <w:basedOn w:val="853"/>
    <w:next w:val="853"/>
    <w:uiPriority w:val="39"/>
    <w:unhideWhenUsed/>
    <w:pPr>
      <w:ind w:left="1984" w:right="0" w:firstLine="0"/>
      <w:spacing w:after="57"/>
    </w:pPr>
  </w:style>
  <w:style w:type="paragraph" w:styleId="850">
    <w:name w:val="toc 9"/>
    <w:basedOn w:val="853"/>
    <w:next w:val="853"/>
    <w:uiPriority w:val="39"/>
    <w:unhideWhenUsed/>
    <w:pPr>
      <w:ind w:left="2268" w:right="0" w:firstLine="0"/>
      <w:spacing w:after="57"/>
    </w:pPr>
  </w:style>
  <w:style w:type="paragraph" w:styleId="851">
    <w:name w:val="TOC Heading"/>
    <w:uiPriority w:val="39"/>
    <w:unhideWhenUsed/>
  </w:style>
  <w:style w:type="paragraph" w:styleId="852">
    <w:name w:val="table of figures"/>
    <w:basedOn w:val="853"/>
    <w:next w:val="853"/>
    <w:uiPriority w:val="99"/>
    <w:unhideWhenUsed/>
    <w:pPr>
      <w:spacing w:after="0" w:afterAutospacing="0"/>
    </w:pPr>
  </w:style>
  <w:style w:type="paragraph" w:styleId="853" w:default="1">
    <w:name w:val="Normal"/>
    <w:qFormat/>
  </w:style>
  <w:style w:type="paragraph" w:styleId="854">
    <w:name w:val="Heading 1"/>
    <w:basedOn w:val="853"/>
    <w:next w:val="853"/>
    <w:link w:val="861"/>
    <w:uiPriority w:val="9"/>
    <w:qFormat/>
    <w:pPr>
      <w:keepLines/>
      <w:keepNext/>
      <w:spacing w:before="240" w:after="0"/>
      <w:outlineLvl w:val="0"/>
    </w:pPr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character" w:styleId="855" w:default="1">
    <w:name w:val="Default Paragraph Font"/>
    <w:uiPriority w:val="1"/>
    <w:semiHidden/>
    <w:unhideWhenUsed/>
  </w:style>
  <w:style w:type="table" w:styleId="856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57" w:default="1">
    <w:name w:val="No List"/>
    <w:uiPriority w:val="99"/>
    <w:semiHidden/>
    <w:unhideWhenUsed/>
  </w:style>
  <w:style w:type="paragraph" w:styleId="858">
    <w:name w:val="Balloon Text"/>
    <w:basedOn w:val="853"/>
    <w:link w:val="859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859" w:customStyle="1">
    <w:name w:val="Текст выноски Знак"/>
    <w:basedOn w:val="855"/>
    <w:link w:val="858"/>
    <w:uiPriority w:val="99"/>
    <w:semiHidden/>
    <w:rPr>
      <w:rFonts w:ascii="Segoe UI" w:hAnsi="Segoe UI" w:cs="Segoe UI"/>
      <w:sz w:val="18"/>
      <w:szCs w:val="18"/>
    </w:rPr>
  </w:style>
  <w:style w:type="paragraph" w:styleId="860">
    <w:name w:val="No Spacing"/>
    <w:uiPriority w:val="1"/>
    <w:qFormat/>
    <w:pPr>
      <w:spacing w:after="0" w:line="240" w:lineRule="auto"/>
    </w:pPr>
  </w:style>
  <w:style w:type="character" w:styleId="861" w:customStyle="1">
    <w:name w:val="Заголовок 1 Знак"/>
    <w:basedOn w:val="855"/>
    <w:link w:val="854"/>
    <w:uiPriority w:val="9"/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paragraph" w:styleId="862">
    <w:name w:val="List Paragraph"/>
    <w:basedOn w:val="853"/>
    <w:uiPriority w:val="34"/>
    <w:qFormat/>
    <w:pPr>
      <w:contextualSpacing/>
      <w:ind w:left="720"/>
      <w:spacing w:line="256" w:lineRule="auto"/>
    </w:pPr>
  </w:style>
  <w:style w:type="character" w:styleId="863">
    <w:name w:val="Hyperlink"/>
    <w:basedOn w:val="855"/>
    <w:uiPriority w:val="99"/>
    <w:unhideWhenUsed/>
    <w:rPr>
      <w:color w:val="0563c1" w:themeColor="hyperlink"/>
      <w:u w:val="single"/>
    </w:rPr>
  </w:style>
  <w:style w:type="character" w:styleId="864">
    <w:name w:val="annotation reference"/>
    <w:basedOn w:val="855"/>
    <w:uiPriority w:val="99"/>
    <w:semiHidden/>
    <w:unhideWhenUsed/>
    <w:rPr>
      <w:sz w:val="16"/>
      <w:szCs w:val="16"/>
    </w:rPr>
  </w:style>
  <w:style w:type="paragraph" w:styleId="865">
    <w:name w:val="annotation text"/>
    <w:basedOn w:val="853"/>
    <w:link w:val="866"/>
    <w:uiPriority w:val="99"/>
    <w:semiHidden/>
    <w:unhideWhenUsed/>
    <w:pPr>
      <w:spacing w:line="240" w:lineRule="auto"/>
    </w:pPr>
    <w:rPr>
      <w:sz w:val="20"/>
      <w:szCs w:val="20"/>
    </w:rPr>
  </w:style>
  <w:style w:type="character" w:styleId="866" w:customStyle="1">
    <w:name w:val="Текст примечания Знак"/>
    <w:basedOn w:val="855"/>
    <w:link w:val="865"/>
    <w:uiPriority w:val="99"/>
    <w:semiHidden/>
    <w:rPr>
      <w:sz w:val="20"/>
      <w:szCs w:val="20"/>
    </w:rPr>
  </w:style>
  <w:style w:type="paragraph" w:styleId="867">
    <w:name w:val="annotation subject"/>
    <w:basedOn w:val="865"/>
    <w:next w:val="865"/>
    <w:link w:val="868"/>
    <w:uiPriority w:val="99"/>
    <w:semiHidden/>
    <w:unhideWhenUsed/>
    <w:rPr>
      <w:b/>
      <w:bCs/>
    </w:rPr>
  </w:style>
  <w:style w:type="character" w:styleId="868" w:customStyle="1">
    <w:name w:val="Тема примечания Знак"/>
    <w:basedOn w:val="866"/>
    <w:link w:val="867"/>
    <w:uiPriority w:val="99"/>
    <w:semiHidden/>
    <w:rPr>
      <w:b/>
      <w:bCs/>
      <w:sz w:val="20"/>
      <w:szCs w:val="20"/>
    </w:rPr>
  </w:style>
  <w:style w:type="paragraph" w:styleId="869">
    <w:name w:val="toc 4"/>
    <w:basedOn w:val="853"/>
    <w:next w:val="853"/>
    <w:link w:val="870"/>
    <w:uiPriority w:val="39"/>
    <w:semiHidden/>
    <w:unhideWhenUsed/>
    <w:pPr>
      <w:ind w:left="660"/>
      <w:spacing w:after="100"/>
    </w:pPr>
  </w:style>
  <w:style w:type="character" w:styleId="870" w:customStyle="1">
    <w:name w:val="Оглавление 4 Знак"/>
    <w:link w:val="869"/>
    <w:uiPriority w:val="39"/>
    <w:semiHidden/>
  </w:style>
  <w:style w:type="paragraph" w:styleId="871" w:customStyle="1">
    <w:name w:val="Нормальный (таблица)"/>
    <w:basedOn w:val="695"/>
    <w:next w:val="695"/>
    <w:uiPriority w:val="99"/>
    <w:pPr>
      <w:contextualSpacing w:val="0"/>
      <w:ind w:left="0" w:right="0" w:firstLine="0"/>
      <w:jc w:val="both"/>
      <w:keepLines w:val="0"/>
      <w:keepNext w:val="0"/>
      <w:pageBreakBefore w:val="0"/>
      <w:spacing w:before="0" w:beforeAutospacing="0" w:after="0" w:afterAutospacing="0" w:line="240" w:lineRule="auto"/>
      <w:shd w:val="nil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 CYR" w:hAnsi="Times New Roman CYR" w:cs="Times New Roman CYR" w:eastAsiaTheme="minorEastAsia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ru-RU" w:eastAsia="ru-RU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image" Target="media/image1.png"/><Relationship Id="rId10" Type="http://schemas.openxmlformats.org/officeDocument/2006/relationships/hyperlink" Target="https://rosreestr.gov.ru/open-service/statistika-i-analitika/kompleksnye-kadastrovye-raboty-adygeya/izveshcheniya-o-provedenii-zasedaniya-soglasitelnoy-komissii-po-voprosu-mestopolozheniya-granits-zem/2025-352/" TargetMode="External"/><Relationship Id="rId11" Type="http://schemas.openxmlformats.org/officeDocument/2006/relationships/hyperlink" Target="http://www.adygheya.r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Р7-Офис/2024.4.1.625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Пушкарская Диана Дмитриевна</dc:creator>
  <cp:revision>25</cp:revision>
  <dcterms:created xsi:type="dcterms:W3CDTF">2024-10-01T14:30:00Z</dcterms:created>
  <dcterms:modified xsi:type="dcterms:W3CDTF">2025-09-04T06:28:00Z</dcterms:modified>
</cp:coreProperties>
</file>