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8"/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984211" cy="729205"/>
                <wp:effectExtent l="0" t="0" r="0" b="0"/>
                <wp:docPr id="1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Рисунок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2045546" cy="75174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56.24pt;height:57.42pt;mso-wrap-distance-left:0.00pt;mso-wrap-distance-top:0.00pt;mso-wrap-distance-right:0.00pt;mso-wrap-distance-bottom:0.00pt;" stroked="false">
                <v:path textboxrect="0,0,0,0"/>
                <v:imagedata r:id="rId9" o:title=""/>
              </v:shape>
            </w:pict>
          </mc:Fallback>
        </mc:AlternateContent>
      </w:r>
      <w:r>
        <w:t xml:space="preserve">                                                                                                                                        </w:t>
      </w:r>
      <w:r/>
    </w:p>
    <w:p>
      <w:pPr>
        <w:pStyle w:val="858"/>
      </w:pPr>
      <w:r/>
      <w:r/>
    </w:p>
    <w:p>
      <w:pPr>
        <w:pStyle w:val="858"/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15.09.2025</w:t>
      </w:r>
      <w:r>
        <w:rPr>
          <w:rFonts w:ascii="Times New Roman" w:hAnsi="Times New Roman" w:cs="Times New Roman"/>
          <w:b/>
          <w:sz w:val="26"/>
          <w:szCs w:val="26"/>
        </w:rPr>
      </w:r>
      <w:r>
        <w:rPr>
          <w:rFonts w:ascii="Times New Roman" w:hAnsi="Times New Roman" w:cs="Times New Roman"/>
          <w:b/>
          <w:sz w:val="26"/>
          <w:szCs w:val="26"/>
        </w:rPr>
      </w:r>
    </w:p>
    <w:p>
      <w:pPr>
        <w:contextualSpacing/>
        <w:ind w:left="360"/>
        <w:jc w:val="center"/>
        <w:spacing w:after="200" w:line="276" w:lineRule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pStyle w:val="852"/>
        <w:ind w:left="0" w:right="0" w:firstLine="0"/>
        <w:jc w:val="center"/>
        <w:spacing w:before="0" w:after="540" w:line="240" w:lineRule="auto"/>
        <w:shd w:val="clear" w:color="ffffff" w:fill="ffffff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/>
          <w:color w:val="3d4146"/>
          <w:sz w:val="28"/>
          <w:szCs w:val="28"/>
        </w:rPr>
        <w:t xml:space="preserve">Сообщить о повреждении пунктов ГГС можно в ППК «Роскадастр»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contextualSpacing/>
        <w:ind w:left="0" w:right="0" w:firstLine="0"/>
        <w:jc w:val="both"/>
        <w:spacing w:after="200" w:line="276" w:lineRule="auto"/>
        <w:rPr>
          <w:rFonts w:ascii="Tinos" w:hAnsi="Tinos" w:cs="Tinos"/>
          <w:b w:val="0"/>
          <w:bCs w:val="0"/>
          <w:color w:val="000000" w:themeColor="text1"/>
          <w:sz w:val="28"/>
          <w:szCs w:val="28"/>
          <w:highlight w:val="none"/>
        </w:rPr>
      </w:pP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Управление Росреестра по Республике Адыгея напоминает,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white"/>
        </w:rPr>
        <w:t xml:space="preserve">что правообладатели объектов недвижимого имущества, на которых расположены пункты государственной геодезической сети, должны сообщать о фактах их повреждения или уничтожении в публично-правовую компанию «Роскадастр» 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white"/>
        </w:rPr>
        <w:t xml:space="preserve">строго в установленный срок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white"/>
        </w:rPr>
        <w:t xml:space="preserve">.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white"/>
        </w:rPr>
        <w:t xml:space="preserve"> 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white"/>
        </w:rPr>
        <w:t xml:space="preserve"> </w:t>
      </w:r>
      <w:r>
        <w:rPr>
          <w:rFonts w:ascii="Tinos" w:hAnsi="Tinos" w:cs="Tinos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nos" w:hAnsi="Tinos" w:cs="Tinos"/>
          <w:b w:val="0"/>
          <w:bCs w:val="0"/>
          <w:color w:val="000000" w:themeColor="text1"/>
          <w:sz w:val="28"/>
          <w:szCs w:val="28"/>
          <w:highlight w:val="none"/>
        </w:rPr>
      </w:r>
    </w:p>
    <w:p>
      <w:pPr>
        <w:contextualSpacing/>
        <w:ind w:left="0" w:right="0" w:firstLine="0"/>
        <w:jc w:val="both"/>
        <w:spacing w:after="200" w:line="276" w:lineRule="auto"/>
        <w:rPr>
          <w:rFonts w:ascii="Tinos" w:hAnsi="Tinos" w:cs="Tinos"/>
          <w:b w:val="0"/>
          <w:bCs w:val="0"/>
          <w:color w:val="000000" w:themeColor="text1"/>
          <w:sz w:val="28"/>
          <w:szCs w:val="28"/>
          <w:highlight w:val="none"/>
        </w:rPr>
      </w:pP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nos" w:hAnsi="Tinos" w:cs="Tinos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nos" w:hAnsi="Tinos" w:cs="Tinos"/>
          <w:b w:val="0"/>
          <w:bCs w:val="0"/>
          <w:color w:val="000000" w:themeColor="text1"/>
          <w:sz w:val="28"/>
          <w:szCs w:val="28"/>
          <w:highlight w:val="none"/>
        </w:rPr>
      </w:r>
    </w:p>
    <w:p>
      <w:pPr>
        <w:contextualSpacing/>
        <w:ind w:left="0" w:right="0" w:firstLine="0"/>
        <w:jc w:val="both"/>
        <w:spacing w:after="200" w:line="276" w:lineRule="auto"/>
        <w:rPr>
          <w:rFonts w:ascii="Tinos" w:hAnsi="Tinos" w:cs="Tinos"/>
          <w:b w:val="0"/>
          <w:bCs w:val="0"/>
          <w:color w:val="000000" w:themeColor="text1"/>
          <w:sz w:val="28"/>
          <w:szCs w:val="28"/>
          <w:highlight w:val="none"/>
        </w:rPr>
      </w:pP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none"/>
        </w:rPr>
        <w:t xml:space="preserve">Напомним, 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white"/>
        </w:rPr>
        <w:t xml:space="preserve">правила уведомления при повреждении или уничтожении пунктов государственной геодезической сети (ГГС), государственной нивелирной и гравиметрической сети,  а также геодезических сетей специального назначения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none"/>
        </w:rPr>
        <w:t xml:space="preserve"> 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white"/>
        </w:rPr>
        <w:t xml:space="preserve">регламентированы 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white"/>
        </w:rPr>
        <w:t xml:space="preserve">приказом Росреестра от 27 марта 2024 года № П/0081/24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white"/>
        </w:rPr>
        <w:t xml:space="preserve"> , вступившим в силу 1 сентября 2024 года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white"/>
        </w:rPr>
        <w:t xml:space="preserve">.</w:t>
      </w:r>
      <w:r>
        <w:rPr>
          <w:rFonts w:ascii="Tinos" w:hAnsi="Tinos" w:cs="Tinos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nos" w:hAnsi="Tinos" w:cs="Tinos"/>
          <w:b w:val="0"/>
          <w:bCs w:val="0"/>
          <w:color w:val="000000" w:themeColor="text1"/>
          <w:sz w:val="28"/>
          <w:szCs w:val="28"/>
          <w:highlight w:val="none"/>
        </w:rPr>
      </w:r>
    </w:p>
    <w:p>
      <w:pPr>
        <w:contextualSpacing/>
        <w:ind w:left="0" w:right="0" w:firstLine="0"/>
        <w:jc w:val="both"/>
        <w:spacing w:after="200" w:line="276" w:lineRule="auto"/>
        <w:rPr>
          <w:rFonts w:ascii="Tinos" w:hAnsi="Tinos" w:cs="Tinos"/>
          <w:b w:val="0"/>
          <w:bCs w:val="0"/>
          <w:color w:val="000000" w:themeColor="text1"/>
          <w:sz w:val="28"/>
          <w:szCs w:val="28"/>
          <w:highlight w:val="none"/>
        </w:rPr>
      </w:pPr>
      <w:r>
        <w:rPr>
          <w:rFonts w:ascii="Roboto" w:hAnsi="Roboto" w:eastAsia="Roboto" w:cs="Roboto"/>
          <w:color w:val="292c2f"/>
          <w:sz w:val="21"/>
          <w:highlight w:val="none"/>
        </w:rPr>
      </w:r>
      <w:r>
        <w:rPr>
          <w:rFonts w:ascii="Tinos" w:hAnsi="Tinos" w:cs="Tinos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nos" w:hAnsi="Tinos" w:cs="Tinos"/>
          <w:b w:val="0"/>
          <w:bCs w:val="0"/>
          <w:color w:val="000000" w:themeColor="text1"/>
          <w:sz w:val="28"/>
          <w:szCs w:val="28"/>
          <w:highlight w:val="none"/>
        </w:rPr>
      </w:r>
    </w:p>
    <w:p>
      <w:pPr>
        <w:contextualSpacing/>
        <w:ind w:left="0" w:right="0" w:firstLine="0"/>
        <w:jc w:val="both"/>
        <w:spacing w:after="200" w:line="276" w:lineRule="auto"/>
        <w:rPr>
          <w:rFonts w:ascii="Tinos" w:hAnsi="Tinos" w:cs="Tinos"/>
          <w:color w:val="292c2f"/>
          <w:sz w:val="28"/>
          <w:szCs w:val="28"/>
          <w:highlight w:val="none"/>
        </w:rPr>
      </w:pP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nos" w:hAnsi="Tinos" w:eastAsia="Tinos" w:cs="Tinos"/>
          <w:color w:val="292c2f"/>
          <w:sz w:val="28"/>
          <w:szCs w:val="28"/>
        </w:rPr>
        <w:t xml:space="preserve">Пункты ГГС служат основой создания систем координат и высот в стране, необходимы для выполнения геодезических и картографических работ, решения иных инженерно-технических задач. Росреестр на системной основе проводит р</w:t>
      </w:r>
      <w:r>
        <w:rPr>
          <w:rFonts w:ascii="Tinos" w:hAnsi="Tinos" w:eastAsia="Tinos" w:cs="Tinos"/>
          <w:color w:val="292c2f"/>
          <w:sz w:val="28"/>
          <w:szCs w:val="28"/>
        </w:rPr>
        <w:t xml:space="preserve">аботы по обследованию состояния пунктов ГГС, обеспечивает развитие и модернизацию государственных сетей, их поддержание в надлежащем состоянии.</w:t>
      </w:r>
      <w:r>
        <w:rPr>
          <w:rFonts w:ascii="Tinos" w:hAnsi="Tinos" w:cs="Tinos"/>
          <w:color w:val="292c2f"/>
          <w:sz w:val="28"/>
          <w:szCs w:val="28"/>
          <w:highlight w:val="none"/>
        </w:rPr>
      </w:r>
      <w:r>
        <w:rPr>
          <w:rFonts w:ascii="Tinos" w:hAnsi="Tinos" w:cs="Tinos"/>
          <w:color w:val="292c2f"/>
          <w:sz w:val="28"/>
          <w:szCs w:val="28"/>
          <w:highlight w:val="none"/>
        </w:rPr>
      </w:r>
    </w:p>
    <w:p>
      <w:pPr>
        <w:contextualSpacing/>
        <w:ind w:left="0" w:right="0" w:firstLine="0"/>
        <w:jc w:val="both"/>
        <w:spacing w:after="200" w:line="276" w:lineRule="auto"/>
        <w:rPr>
          <w:rFonts w:ascii="Tinos" w:hAnsi="Tinos" w:cs="Tinos"/>
          <w:b w:val="0"/>
          <w:bCs w:val="0"/>
          <w:color w:val="000000" w:themeColor="text1"/>
          <w:sz w:val="28"/>
          <w:szCs w:val="28"/>
          <w:highlight w:val="none"/>
        </w:rPr>
      </w:pP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nos" w:hAnsi="Tinos" w:cs="Tinos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nos" w:hAnsi="Tinos" w:cs="Tinos"/>
          <w:b w:val="0"/>
          <w:bCs w:val="0"/>
          <w:color w:val="000000" w:themeColor="text1"/>
          <w:sz w:val="28"/>
          <w:szCs w:val="28"/>
          <w:highlight w:val="none"/>
        </w:rPr>
      </w:r>
    </w:p>
    <w:p>
      <w:pPr>
        <w:contextualSpacing/>
        <w:ind w:left="0" w:right="0" w:firstLine="0"/>
        <w:jc w:val="both"/>
        <w:spacing w:after="200" w:line="276" w:lineRule="auto"/>
        <w:rPr>
          <w:rFonts w:ascii="Tinos" w:hAnsi="Tinos" w:cs="Tinos"/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</w:pP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none"/>
        </w:rPr>
        <w:t xml:space="preserve">«</w:t>
      </w:r>
      <w:r>
        <w:rPr>
          <w:rFonts w:ascii="Tinos" w:hAnsi="Tinos" w:eastAsia="Tinos" w:cs="Tinos"/>
          <w:i/>
          <w:color w:val="000000" w:themeColor="text1"/>
          <w:sz w:val="28"/>
          <w:szCs w:val="28"/>
          <w:highlight w:val="white"/>
        </w:rPr>
        <w:t xml:space="preserve">Популяризация знаний о геодезических пунктах играет важную роль, так как не все понимают назначение и важность сохранения пунктов, вследствие чего по незнанию или специально уничтожают как сами центры, так и наружные знаки.</w:t>
      </w:r>
      <w:r>
        <w:rPr>
          <w:rFonts w:ascii="Tinos" w:hAnsi="Tinos" w:eastAsia="Tinos" w:cs="Tinos"/>
          <w:b w:val="0"/>
          <w:bCs w:val="0"/>
          <w:i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nos" w:hAnsi="Tinos" w:eastAsia="Tinos" w:cs="Tinos"/>
          <w:b w:val="0"/>
          <w:bCs w:val="0"/>
          <w:i/>
          <w:color w:val="000000" w:themeColor="text1"/>
          <w:sz w:val="28"/>
          <w:szCs w:val="28"/>
          <w:highlight w:val="white"/>
        </w:rPr>
        <w:t xml:space="preserve">В 2025 году сотрудниками Управления проведены мероприятия направленные на</w:t>
      </w:r>
      <w:r>
        <w:rPr>
          <w:rFonts w:ascii="Tinos" w:hAnsi="Tinos" w:eastAsia="Tinos" w:cs="Tinos"/>
          <w:b w:val="0"/>
          <w:bCs w:val="0"/>
          <w:i/>
          <w:color w:val="000000" w:themeColor="text1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highlight w:val="none"/>
        </w:rPr>
        <w:t xml:space="preserve">получение актуальных данных о физическом состоянии </w:t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highlight w:val="none"/>
        </w:rPr>
        <w:t xml:space="preserve">147</w:t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highlight w:val="none"/>
        </w:rPr>
        <w:t xml:space="preserve"> пунктов</w:t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highlight w:val="none"/>
        </w:rPr>
        <w:t xml:space="preserve"> нивелирной сети,</w:t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highlight w:val="none"/>
        </w:rPr>
        <w:t xml:space="preserve"> находящихся на территории Республики Адыгея. Обследования показали, что </w:t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highlight w:val="none"/>
        </w:rPr>
        <w:t xml:space="preserve">ряд </w:t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highlight w:val="none"/>
        </w:rPr>
        <w:t xml:space="preserve">пунктов</w:t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highlight w:val="none"/>
        </w:rPr>
        <w:t xml:space="preserve"> не удалось обнаружить</w:t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highlight w:val="none"/>
        </w:rPr>
        <w:t xml:space="preserve">, в связи</w:t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highlight w:val="none"/>
        </w:rPr>
        <w:t xml:space="preserve"> с чем они считаются ненайденными</w:t>
      </w:r>
      <w:r>
        <w:rPr>
          <w:rFonts w:ascii="Tinos" w:hAnsi="Tinos" w:eastAsia="Tinos" w:cs="Tinos"/>
          <w:b w:val="0"/>
          <w:bCs w:val="0"/>
          <w:i/>
          <w:color w:val="000000" w:themeColor="text1"/>
          <w:sz w:val="28"/>
          <w:szCs w:val="28"/>
          <w:highlight w:val="white"/>
        </w:rPr>
        <w:t xml:space="preserve">», – </w:t>
      </w:r>
      <w:r>
        <w:rPr>
          <w:rFonts w:ascii="Tinos" w:hAnsi="Tinos" w:eastAsia="Tinos" w:cs="Tinos"/>
          <w:b w:val="0"/>
          <w:bCs w:val="0"/>
          <w:i w:val="0"/>
          <w:iCs w:val="0"/>
          <w:color w:val="000000" w:themeColor="text1"/>
          <w:sz w:val="28"/>
          <w:szCs w:val="28"/>
          <w:highlight w:val="white"/>
        </w:rPr>
        <w:t xml:space="preserve">сообщил заместитель руководителя Управления Росреестра по Республике Адыгея </w:t>
      </w:r>
      <w:r>
        <w:rPr>
          <w:rFonts w:ascii="Tinos" w:hAnsi="Tinos" w:eastAsia="Tinos" w:cs="Tinos"/>
          <w:b/>
          <w:bCs/>
          <w:i w:val="0"/>
          <w:iCs w:val="0"/>
          <w:color w:val="000000" w:themeColor="text1"/>
          <w:sz w:val="28"/>
          <w:szCs w:val="28"/>
          <w:highlight w:val="white"/>
        </w:rPr>
        <w:t xml:space="preserve">Эдуард Куиз</w:t>
      </w:r>
      <w:r>
        <w:rPr>
          <w:rFonts w:ascii="Tinos" w:hAnsi="Tinos" w:eastAsia="Tinos" w:cs="Tinos"/>
          <w:b w:val="0"/>
          <w:bCs w:val="0"/>
          <w:i w:val="0"/>
          <w:iCs w:val="0"/>
          <w:color w:val="000000" w:themeColor="text1"/>
          <w:sz w:val="28"/>
          <w:szCs w:val="28"/>
          <w:highlight w:val="white"/>
        </w:rPr>
        <w:t xml:space="preserve">. </w:t>
      </w:r>
      <w:r>
        <w:rPr>
          <w:rFonts w:ascii="Tinos" w:hAnsi="Tinos" w:cs="Tinos"/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</w:r>
      <w:r>
        <w:rPr>
          <w:rFonts w:ascii="Tinos" w:hAnsi="Tinos" w:cs="Tinos"/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</w:r>
    </w:p>
    <w:p>
      <w:pPr>
        <w:contextualSpacing/>
        <w:ind w:left="0" w:right="0" w:firstLine="0"/>
        <w:jc w:val="both"/>
        <w:spacing w:after="200" w:line="276" w:lineRule="auto"/>
        <w:rPr>
          <w:rFonts w:ascii="Tinos" w:hAnsi="Tinos" w:cs="Tinos"/>
          <w:b w:val="0"/>
          <w:bCs w:val="0"/>
          <w:color w:val="000000" w:themeColor="text1"/>
          <w:sz w:val="28"/>
          <w:szCs w:val="28"/>
          <w:highlight w:val="none"/>
        </w:rPr>
      </w:pP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nos" w:hAnsi="Tinos" w:cs="Tinos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nos" w:hAnsi="Tinos" w:cs="Tinos"/>
          <w:b w:val="0"/>
          <w:bCs w:val="0"/>
          <w:color w:val="000000" w:themeColor="text1"/>
          <w:sz w:val="28"/>
          <w:szCs w:val="28"/>
          <w:highlight w:val="none"/>
        </w:rPr>
      </w:r>
    </w:p>
    <w:p>
      <w:pPr>
        <w:contextualSpacing/>
        <w:ind w:left="0" w:right="0" w:firstLine="0"/>
        <w:jc w:val="both"/>
        <w:spacing w:after="200" w:line="276" w:lineRule="auto"/>
        <w:rPr>
          <w:rFonts w:ascii="Tinos" w:hAnsi="Tinos" w:cs="Tinos"/>
          <w:b w:val="0"/>
          <w:bCs w:val="0"/>
          <w:color w:val="000000" w:themeColor="text1"/>
          <w:sz w:val="28"/>
          <w:szCs w:val="28"/>
          <w:highlight w:val="none"/>
        </w:rPr>
      </w:pP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nos" w:hAnsi="Tinos" w:eastAsia="Tinos" w:cs="Tinos"/>
          <w:color w:val="292c2f"/>
          <w:sz w:val="28"/>
          <w:szCs w:val="28"/>
        </w:rPr>
        <w:t xml:space="preserve">Правообладатели объектов недвижимости, на которых находятся пункты, а также лица, выполняющие геодезические и картографические работы, должны направлять информацию о случаях повреждения или уничтожения пунктов указанных сетей в ППК «Роскадастр» в течение 1</w:t>
      </w:r>
      <w:r>
        <w:rPr>
          <w:rFonts w:ascii="Tinos" w:hAnsi="Tinos" w:eastAsia="Tinos" w:cs="Tinos"/>
          <w:color w:val="292c2f"/>
          <w:sz w:val="28"/>
          <w:szCs w:val="28"/>
        </w:rPr>
        <w:t xml:space="preserve">5 календарных дней со дня обнаружения данных фактов. </w:t>
      </w:r>
      <w:r>
        <w:rPr>
          <w:rFonts w:ascii="Tinos" w:hAnsi="Tinos" w:cs="Tinos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nos" w:hAnsi="Tinos" w:cs="Tinos"/>
          <w:b w:val="0"/>
          <w:bCs w:val="0"/>
          <w:color w:val="000000" w:themeColor="text1"/>
          <w:sz w:val="28"/>
          <w:szCs w:val="28"/>
          <w:highlight w:val="none"/>
        </w:rPr>
      </w:r>
    </w:p>
    <w:p>
      <w:pPr>
        <w:contextualSpacing/>
        <w:ind w:left="0" w:right="0" w:firstLine="0"/>
        <w:jc w:val="both"/>
        <w:spacing w:after="200" w:line="276" w:lineRule="auto"/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none"/>
        </w:rPr>
      </w:pP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none"/>
        </w:rPr>
      </w:r>
    </w:p>
    <w:p>
      <w:pPr>
        <w:contextualSpacing/>
        <w:ind w:left="0" w:right="0" w:firstLine="0"/>
        <w:jc w:val="both"/>
        <w:spacing w:after="200" w:line="276" w:lineRule="auto"/>
        <w:rPr>
          <w:rFonts w:ascii="Tinos" w:hAnsi="Tinos" w:eastAsia="Tinos" w:cs="Tinos"/>
          <w:color w:val="000000"/>
          <w:sz w:val="28"/>
          <w:szCs w:val="28"/>
          <w:highlight w:val="white"/>
          <w14:ligatures w14:val="none"/>
        </w:rPr>
      </w:pP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Информация направляется однократно и должна содержать данные об </w:t>
      </w: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отправителе, состоянии пункта, его местоположении и кадастровом номере объекта недвижимости, причинах повреждения или уничтожения пункта. Также можно указать название пункта, тип его центра и </w:t>
      </w: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знака, номер марки пункта, если эти сведения известны. Кроме того, необходимо приложить фото- и видеоматериалы, подтверждающие сведения о состоянии геодезического пункта.</w:t>
      </w:r>
      <w:r>
        <w:rPr>
          <w:rFonts w:ascii="Tinos" w:hAnsi="Tinos" w:eastAsia="Tinos" w:cs="Tinos"/>
          <w:color w:val="000000"/>
          <w:sz w:val="28"/>
          <w:szCs w:val="28"/>
          <w:highlight w:val="white"/>
          <w14:ligatures w14:val="none"/>
        </w:rPr>
      </w:r>
      <w:r>
        <w:rPr>
          <w:rFonts w:ascii="Tinos" w:hAnsi="Tinos" w:eastAsia="Tinos" w:cs="Tinos"/>
          <w:color w:val="000000"/>
          <w:sz w:val="28"/>
          <w:szCs w:val="28"/>
          <w:highlight w:val="white"/>
          <w14:ligatures w14:val="none"/>
        </w:rPr>
      </w:r>
    </w:p>
    <w:p>
      <w:pPr>
        <w:contextualSpacing/>
        <w:ind w:left="0" w:right="0" w:firstLine="0"/>
        <w:jc w:val="both"/>
        <w:spacing w:after="200" w:line="276" w:lineRule="auto"/>
        <w:rPr>
          <w:rFonts w:ascii="Tinos" w:hAnsi="Tinos" w:eastAsia="Tinos" w:cs="Tinos"/>
          <w:color w:val="000000"/>
          <w:sz w:val="28"/>
          <w:szCs w:val="28"/>
          <w:highlight w:val="white"/>
          <w14:ligatures w14:val="none"/>
        </w:rPr>
      </w:pPr>
      <w:r>
        <w:rPr>
          <w:rFonts w:ascii="Tinos" w:hAnsi="Tinos" w:eastAsia="Tinos" w:cs="Tinos"/>
          <w:color w:val="000000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Указанные сведения можно направить в ППК «Роскадастр» следующим способом:</w:t>
      </w:r>
      <w:r>
        <w:rPr>
          <w:rFonts w:ascii="Tinos" w:hAnsi="Tinos" w:eastAsia="Tinos" w:cs="Tinos"/>
          <w:color w:val="000000"/>
          <w:sz w:val="28"/>
          <w:szCs w:val="28"/>
          <w:highlight w:val="white"/>
          <w14:ligatures w14:val="none"/>
        </w:rPr>
      </w:r>
      <w:r>
        <w:rPr>
          <w:rFonts w:ascii="Tinos" w:hAnsi="Tinos" w:eastAsia="Tinos" w:cs="Tinos"/>
          <w:color w:val="000000"/>
          <w:sz w:val="28"/>
          <w:szCs w:val="28"/>
          <w:highlight w:val="white"/>
          <w14:ligatures w14:val="none"/>
        </w:rPr>
      </w:r>
    </w:p>
    <w:p>
      <w:pPr>
        <w:contextualSpacing/>
        <w:ind w:left="0" w:right="0" w:firstLine="0"/>
        <w:jc w:val="both"/>
        <w:spacing w:after="200" w:line="276" w:lineRule="auto"/>
        <w:rPr>
          <w:rFonts w:ascii="Tinos" w:hAnsi="Tinos" w:eastAsia="Tinos" w:cs="Tinos"/>
          <w:color w:val="000000"/>
          <w:sz w:val="28"/>
          <w:szCs w:val="28"/>
          <w:highlight w:val="whit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а) в форме документа на бумажном носителе посредством почтового отправления </w:t>
      </w: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(107078, г. Москва, Орликов пер.,</w:t>
      </w: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 </w:t>
      </w: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д. 10, стр. 1).</w:t>
      </w:r>
      <w:r>
        <w:rPr>
          <w:rFonts w:ascii="Tinos" w:hAnsi="Tinos" w:eastAsia="Tinos" w:cs="Tinos"/>
          <w:color w:val="000000"/>
          <w:sz w:val="28"/>
          <w:szCs w:val="28"/>
          <w:highlight w:val="white"/>
          <w14:ligatures w14:val="none"/>
        </w:rPr>
      </w:r>
      <w:r>
        <w:rPr>
          <w:rFonts w:ascii="Tinos" w:hAnsi="Tinos" w:eastAsia="Tinos" w:cs="Tinos"/>
          <w:color w:val="000000"/>
          <w:sz w:val="28"/>
          <w:szCs w:val="28"/>
          <w:highlight w:val="white"/>
          <w14:ligatures w14:val="none"/>
        </w:rPr>
      </w:r>
    </w:p>
    <w:p>
      <w:pPr>
        <w:contextualSpacing/>
        <w:ind w:left="0" w:right="0" w:firstLine="0"/>
        <w:jc w:val="both"/>
        <w:spacing w:after="200" w:line="276" w:lineRule="auto"/>
        <w:rPr>
          <w:rFonts w:ascii="Tinos" w:hAnsi="Tinos" w:eastAsia="Tinos" w:cs="Tinos"/>
          <w:color w:val="000000"/>
          <w:sz w:val="28"/>
          <w:szCs w:val="28"/>
          <w:highlight w:val="whit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б) в форме электронного документа (электронного образа документа), направляемого по адресу электронной почты </w:t>
      </w:r>
      <w:r>
        <w:rPr>
          <w:rFonts w:ascii="Tinos" w:hAnsi="Tinos" w:eastAsia="Tinos" w:cs="Tinos"/>
          <w:color w:val="000000"/>
          <w:sz w:val="28"/>
          <w:szCs w:val="28"/>
          <w:highlight w:val="none"/>
        </w:rPr>
        <w:t xml:space="preserve"> (</w:t>
      </w:r>
      <w:hyperlink r:id="rId10" w:tooltip="mailto:help@lkkadastr.ru" w:history="1">
        <w:r>
          <w:rPr>
            <w:rFonts w:ascii="Tinos" w:hAnsi="Tinos" w:eastAsia="Tinos" w:cs="Tinos"/>
            <w:color w:val="000000"/>
            <w:sz w:val="28"/>
            <w:szCs w:val="28"/>
            <w:highlight w:val="white"/>
          </w:rPr>
          <w:t xml:space="preserve">help@lkkadastr.ru</w:t>
        </w:r>
      </w:hyperlink>
      <w:r>
        <w:rPr>
          <w:rFonts w:ascii="Tinos" w:hAnsi="Tinos" w:eastAsia="Tinos" w:cs="Tinos"/>
          <w:color w:val="000000"/>
          <w:sz w:val="28"/>
          <w:szCs w:val="28"/>
          <w:highlight w:val="none"/>
        </w:rPr>
        <w:t xml:space="preserve">)</w:t>
      </w: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.</w:t>
      </w:r>
      <w:r>
        <w:rPr>
          <w:rFonts w:ascii="Tinos" w:hAnsi="Tinos" w:eastAsia="Tinos" w:cs="Tinos"/>
          <w:color w:val="000000"/>
          <w:sz w:val="28"/>
          <w:szCs w:val="28"/>
          <w:highlight w:val="white"/>
          <w14:ligatures w14:val="none"/>
        </w:rPr>
      </w:r>
      <w:r>
        <w:rPr>
          <w:rFonts w:ascii="Tinos" w:hAnsi="Tinos" w:eastAsia="Tinos" w:cs="Tinos"/>
          <w:color w:val="000000"/>
          <w:sz w:val="28"/>
          <w:szCs w:val="28"/>
          <w:highlight w:val="white"/>
          <w14:ligatures w14:val="none"/>
        </w:rPr>
      </w:r>
    </w:p>
    <w:p>
      <w:pPr>
        <w:contextualSpacing/>
        <w:ind w:left="0" w:right="0" w:firstLine="0"/>
        <w:jc w:val="both"/>
        <w:spacing w:after="200" w:line="276" w:lineRule="auto"/>
        <w:rPr>
          <w:rFonts w:ascii="Tinos" w:hAnsi="Tinos" w:eastAsia="Tinos" w:cs="Tinos"/>
          <w:color w:val="000000"/>
          <w:sz w:val="28"/>
          <w:szCs w:val="28"/>
          <w:highlight w:val="whit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в) посредством заполнения специального раздела официального сайта  в информационно-телекоммуникационной сети «Интернет».</w:t>
      </w:r>
      <w:r>
        <w:rPr>
          <w:rFonts w:ascii="Tinos" w:hAnsi="Tinos" w:eastAsia="Tinos" w:cs="Tinos"/>
          <w:color w:val="000000"/>
          <w:sz w:val="28"/>
          <w:szCs w:val="28"/>
          <w:highlight w:val="white"/>
          <w14:ligatures w14:val="none"/>
        </w:rPr>
      </w:r>
      <w:r>
        <w:rPr>
          <w:rFonts w:ascii="Tinos" w:hAnsi="Tinos" w:eastAsia="Tinos" w:cs="Tinos"/>
          <w:color w:val="000000"/>
          <w:sz w:val="28"/>
          <w:szCs w:val="28"/>
          <w:highlight w:val="white"/>
          <w14:ligatures w14:val="none"/>
        </w:rPr>
      </w:r>
    </w:p>
    <w:p>
      <w:pPr>
        <w:contextualSpacing/>
        <w:ind w:left="0" w:right="0" w:firstLine="0"/>
        <w:jc w:val="both"/>
        <w:spacing w:after="200" w:line="276" w:lineRule="auto"/>
        <w:rPr>
          <w:rFonts w:ascii="Tinos" w:hAnsi="Tinos" w:eastAsia="Tinos" w:cs="Tinos"/>
          <w:color w:val="000000"/>
          <w:sz w:val="28"/>
          <w:szCs w:val="28"/>
          <w:highlight w:val="white"/>
          <w14:ligatures w14:val="none"/>
        </w:rPr>
      </w:pPr>
      <w:r>
        <w:rPr>
          <w:rFonts w:ascii="Tinos" w:hAnsi="Tinos" w:eastAsia="Tinos" w:cs="Tinos"/>
          <w:color w:val="000000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/>
          <w:sz w:val="28"/>
          <w:szCs w:val="28"/>
          <w:highlight w:val="white"/>
          <w14:ligatures w14:val="none"/>
        </w:rPr>
      </w:r>
      <w:r>
        <w:rPr>
          <w:rFonts w:ascii="Tinos" w:hAnsi="Tinos" w:eastAsia="Tinos" w:cs="Tinos"/>
          <w:color w:val="000000"/>
          <w:sz w:val="28"/>
          <w:szCs w:val="28"/>
          <w:highlight w:val="white"/>
          <w14:ligatures w14:val="none"/>
        </w:rPr>
      </w:r>
    </w:p>
    <w:p>
      <w:pPr>
        <w:contextualSpacing/>
        <w:ind w:left="0" w:right="0" w:firstLine="0"/>
        <w:jc w:val="both"/>
        <w:spacing w:after="200" w:line="276" w:lineRule="auto"/>
        <w:rPr>
          <w:rFonts w:ascii="Tinos" w:hAnsi="Tinos" w:cs="Tinos"/>
          <w:color w:val="000000"/>
          <w:sz w:val="28"/>
          <w:szCs w:val="28"/>
        </w:rPr>
      </w:pPr>
      <w:r>
        <w:rPr>
          <w:rFonts w:ascii="Tinos" w:hAnsi="Tinos" w:eastAsia="Tinos" w:cs="Tinos"/>
          <w:color w:val="000000"/>
          <w:sz w:val="28"/>
          <w:szCs w:val="28"/>
          <w:highlight w:val="none"/>
          <w:lang w:eastAsia="ru-RU"/>
        </w:rPr>
      </w: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В случае неуведомления собственником, владельцем или пользователем земельного участка, здания либо сооружения, на которых размещены геодезические пункты, об уничтожении, о повреждении или о сносе пунктов лицо может быть привлечено к административной ответс</w:t>
      </w: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твенности по части 4 статьи 7.2 Кодекса Российской Федерации об административных правонарушениях.</w:t>
      </w:r>
      <w:r>
        <w:rPr>
          <w:rFonts w:ascii="Tinos" w:hAnsi="Tinos" w:cs="Tinos"/>
          <w:color w:val="000000"/>
          <w:sz w:val="28"/>
          <w:szCs w:val="28"/>
        </w:rPr>
      </w:r>
      <w:r>
        <w:rPr>
          <w:rFonts w:ascii="Tinos" w:hAnsi="Tinos" w:cs="Tinos"/>
          <w:color w:val="000000"/>
          <w:sz w:val="28"/>
          <w:szCs w:val="28"/>
        </w:rPr>
      </w:r>
    </w:p>
    <w:p>
      <w:pPr>
        <w:contextualSpacing/>
        <w:ind w:left="0" w:right="0" w:firstLine="0"/>
        <w:jc w:val="both"/>
        <w:spacing w:after="200" w:line="276" w:lineRule="auto"/>
        <w:rPr>
          <w:rFonts w:ascii="Tinos" w:hAnsi="Tinos" w:cs="Tinos"/>
          <w:color w:val="000000"/>
          <w:sz w:val="28"/>
          <w:szCs w:val="28"/>
          <w:highlight w:val="none"/>
        </w:rPr>
      </w:pPr>
      <w:r>
        <w:rPr>
          <w:rFonts w:ascii="Tinos" w:hAnsi="Tinos" w:eastAsia="Tinos" w:cs="Tinos"/>
          <w:color w:val="000000"/>
          <w:sz w:val="28"/>
          <w:szCs w:val="28"/>
          <w:highlight w:val="none"/>
          <w:lang w:eastAsia="ru-RU"/>
        </w:rPr>
      </w:r>
      <w:r>
        <w:rPr>
          <w:rFonts w:ascii="Tinos" w:hAnsi="Tinos" w:cs="Tinos"/>
          <w:color w:val="000000"/>
          <w:sz w:val="28"/>
          <w:szCs w:val="28"/>
          <w:highlight w:val="none"/>
        </w:rPr>
      </w:r>
      <w:r>
        <w:rPr>
          <w:rFonts w:ascii="Tinos" w:hAnsi="Tinos" w:cs="Tinos"/>
          <w:color w:val="000000"/>
          <w:sz w:val="28"/>
          <w:szCs w:val="28"/>
          <w:highlight w:val="none"/>
        </w:rPr>
      </w:r>
    </w:p>
    <w:p>
      <w:pPr>
        <w:contextualSpacing/>
        <w:ind w:left="0" w:right="0" w:firstLine="0"/>
        <w:jc w:val="both"/>
        <w:spacing w:after="200" w:line="276" w:lineRule="auto"/>
        <w:rPr>
          <w:rFonts w:ascii="Tinos" w:hAnsi="Tinos" w:eastAsia="Tinos" w:cs="Tinos"/>
          <w:color w:val="000000"/>
          <w:sz w:val="28"/>
          <w:szCs w:val="28"/>
          <w:highlight w:val="none"/>
          <w:lang w:eastAsia="ru-RU"/>
        </w:rPr>
      </w:pPr>
      <w:r>
        <w:rPr>
          <w:rFonts w:ascii="Tinos" w:hAnsi="Tinos" w:eastAsia="Tinos" w:cs="Tinos"/>
          <w:color w:val="000000"/>
          <w:sz w:val="28"/>
          <w:szCs w:val="28"/>
          <w:lang w:eastAsia="ru-RU"/>
        </w:rPr>
      </w:r>
      <w:r>
        <w:rPr>
          <w:rFonts w:ascii="Tinos" w:hAnsi="Tinos" w:eastAsia="Tinos" w:cs="Tinos"/>
          <w:color w:val="000000"/>
          <w:sz w:val="28"/>
          <w:szCs w:val="28"/>
          <w:highlight w:val="none"/>
        </w:rPr>
        <w:t xml:space="preserve">Получить подробную консультацию </w:t>
      </w: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по вопросам обеспечения сохранности геодезических пунктов можно в отделе землеустройства, мониторинга земель и кадастровой оценки недвижимости,  геодезии и картографии Управления Росреестра по Республике Адыгея по телефону:</w:t>
      </w:r>
      <w:r>
        <w:rPr>
          <w:rFonts w:ascii="Tinos" w:hAnsi="Tinos" w:eastAsia="Tinos" w:cs="Tinos"/>
          <w:color w:val="000000"/>
          <w:sz w:val="28"/>
          <w:szCs w:val="28"/>
          <w:lang w:eastAsia="ru-RU"/>
        </w:rPr>
        <w:t xml:space="preserve"> (8772) 57-45-40.</w:t>
      </w:r>
      <w:r>
        <w:rPr>
          <w:rFonts w:ascii="Tinos" w:hAnsi="Tinos" w:eastAsia="Tinos" w:cs="Tinos"/>
          <w:color w:val="000000"/>
          <w:sz w:val="28"/>
          <w:szCs w:val="28"/>
          <w:highlight w:val="none"/>
          <w:lang w:eastAsia="ru-RU"/>
        </w:rPr>
      </w:r>
      <w:r>
        <w:rPr>
          <w:rFonts w:ascii="Tinos" w:hAnsi="Tinos" w:eastAsia="Tinos" w:cs="Tinos"/>
          <w:color w:val="000000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nos" w:hAnsi="Tinos" w:eastAsia="Tinos" w:cs="Tinos"/>
          <w:color w:val="000000"/>
          <w:sz w:val="28"/>
          <w:szCs w:val="28"/>
          <w:highlight w:val="none"/>
          <w:lang w:eastAsia="ru-RU"/>
        </w:rPr>
      </w:r>
    </w:p>
    <w:p>
      <w:pPr>
        <w:jc w:val="both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outlineLvl w:val="1"/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------------------------------------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Контакты для СМИ: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(8772)56-02-48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01_upr@rosreestr.ru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www.rosreestr.gov.ru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385000, Майкоп, ул.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Краснооктябрьская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, д. 44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sectPr>
      <w:footnotePr/>
      <w:endnotePr/>
      <w:type w:val="nextPage"/>
      <w:pgSz w:w="11906" w:h="16838" w:orient="portrait"/>
      <w:pgMar w:top="907" w:right="851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Roboto">
    <w:panose1 w:val="02000000000000000000"/>
  </w:font>
  <w:font w:name="Tinos">
    <w:panose1 w:val="020206030504050203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Times New Roman">
    <w:panose1 w:val="02020603050405020304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4">
    <w:multiLevelType w:val="hybridMultilevel"/>
    <w:lvl w:ilvl="0">
      <w:start w:val="10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  <w:b/>
        <w:color w:val="auto"/>
        <w:sz w:val="27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>
    <w:multiLevelType w:val="hybridMultilevel"/>
    <w:lvl w:ilvl="0">
      <w:start w:val="3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  <w:b/>
        <w:color w:val="auto"/>
        <w:sz w:val="27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"/>
  </w:num>
  <w:num w:numId="3">
    <w:abstractNumId w:val="6"/>
  </w:num>
  <w:num w:numId="4">
    <w:abstractNumId w:val="11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5"/>
  </w:num>
  <w:num w:numId="10">
    <w:abstractNumId w:val="10"/>
  </w:num>
  <w:num w:numId="11">
    <w:abstractNumId w:val="2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78">
    <w:name w:val="Heading 1 Char"/>
    <w:basedOn w:val="853"/>
    <w:link w:val="852"/>
    <w:uiPriority w:val="9"/>
    <w:rPr>
      <w:rFonts w:ascii="Arial" w:hAnsi="Arial" w:eastAsia="Arial" w:cs="Arial"/>
      <w:sz w:val="40"/>
      <w:szCs w:val="40"/>
    </w:rPr>
  </w:style>
  <w:style w:type="paragraph" w:styleId="679">
    <w:name w:val="Heading 2"/>
    <w:basedOn w:val="851"/>
    <w:next w:val="851"/>
    <w:link w:val="680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0">
    <w:name w:val="Heading 2 Char"/>
    <w:basedOn w:val="853"/>
    <w:link w:val="679"/>
    <w:uiPriority w:val="9"/>
    <w:rPr>
      <w:rFonts w:ascii="Arial" w:hAnsi="Arial" w:eastAsia="Arial" w:cs="Arial"/>
      <w:sz w:val="34"/>
    </w:rPr>
  </w:style>
  <w:style w:type="paragraph" w:styleId="681">
    <w:name w:val="Heading 3"/>
    <w:basedOn w:val="851"/>
    <w:next w:val="851"/>
    <w:link w:val="682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2">
    <w:name w:val="Heading 3 Char"/>
    <w:basedOn w:val="853"/>
    <w:link w:val="681"/>
    <w:uiPriority w:val="9"/>
    <w:rPr>
      <w:rFonts w:ascii="Arial" w:hAnsi="Arial" w:eastAsia="Arial" w:cs="Arial"/>
      <w:sz w:val="30"/>
      <w:szCs w:val="30"/>
    </w:rPr>
  </w:style>
  <w:style w:type="paragraph" w:styleId="683">
    <w:name w:val="Heading 4"/>
    <w:basedOn w:val="851"/>
    <w:next w:val="851"/>
    <w:link w:val="684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4">
    <w:name w:val="Heading 4 Char"/>
    <w:basedOn w:val="853"/>
    <w:link w:val="683"/>
    <w:uiPriority w:val="9"/>
    <w:rPr>
      <w:rFonts w:ascii="Arial" w:hAnsi="Arial" w:eastAsia="Arial" w:cs="Arial"/>
      <w:b/>
      <w:bCs/>
      <w:sz w:val="26"/>
      <w:szCs w:val="26"/>
    </w:rPr>
  </w:style>
  <w:style w:type="paragraph" w:styleId="685">
    <w:name w:val="Heading 5"/>
    <w:basedOn w:val="851"/>
    <w:next w:val="851"/>
    <w:link w:val="686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6">
    <w:name w:val="Heading 5 Char"/>
    <w:basedOn w:val="853"/>
    <w:link w:val="685"/>
    <w:uiPriority w:val="9"/>
    <w:rPr>
      <w:rFonts w:ascii="Arial" w:hAnsi="Arial" w:eastAsia="Arial" w:cs="Arial"/>
      <w:b/>
      <w:bCs/>
      <w:sz w:val="24"/>
      <w:szCs w:val="24"/>
    </w:rPr>
  </w:style>
  <w:style w:type="paragraph" w:styleId="687">
    <w:name w:val="Heading 6"/>
    <w:basedOn w:val="851"/>
    <w:next w:val="851"/>
    <w:link w:val="68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8">
    <w:name w:val="Heading 6 Char"/>
    <w:basedOn w:val="853"/>
    <w:link w:val="687"/>
    <w:uiPriority w:val="9"/>
    <w:rPr>
      <w:rFonts w:ascii="Arial" w:hAnsi="Arial" w:eastAsia="Arial" w:cs="Arial"/>
      <w:b/>
      <w:bCs/>
      <w:sz w:val="22"/>
      <w:szCs w:val="22"/>
    </w:rPr>
  </w:style>
  <w:style w:type="paragraph" w:styleId="689">
    <w:name w:val="Heading 7"/>
    <w:basedOn w:val="851"/>
    <w:next w:val="851"/>
    <w:link w:val="69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0">
    <w:name w:val="Heading 7 Char"/>
    <w:basedOn w:val="853"/>
    <w:link w:val="68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1">
    <w:name w:val="Heading 8"/>
    <w:basedOn w:val="851"/>
    <w:next w:val="851"/>
    <w:link w:val="69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2">
    <w:name w:val="Heading 8 Char"/>
    <w:basedOn w:val="853"/>
    <w:link w:val="691"/>
    <w:uiPriority w:val="9"/>
    <w:rPr>
      <w:rFonts w:ascii="Arial" w:hAnsi="Arial" w:eastAsia="Arial" w:cs="Arial"/>
      <w:i/>
      <w:iCs/>
      <w:sz w:val="22"/>
      <w:szCs w:val="22"/>
    </w:rPr>
  </w:style>
  <w:style w:type="paragraph" w:styleId="693">
    <w:name w:val="Heading 9"/>
    <w:basedOn w:val="851"/>
    <w:next w:val="851"/>
    <w:link w:val="69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4">
    <w:name w:val="Heading 9 Char"/>
    <w:basedOn w:val="853"/>
    <w:link w:val="693"/>
    <w:uiPriority w:val="9"/>
    <w:rPr>
      <w:rFonts w:ascii="Arial" w:hAnsi="Arial" w:eastAsia="Arial" w:cs="Arial"/>
      <w:i/>
      <w:iCs/>
      <w:sz w:val="21"/>
      <w:szCs w:val="21"/>
    </w:rPr>
  </w:style>
  <w:style w:type="paragraph" w:styleId="695">
    <w:name w:val="Title"/>
    <w:basedOn w:val="851"/>
    <w:next w:val="851"/>
    <w:link w:val="69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6">
    <w:name w:val="Title Char"/>
    <w:basedOn w:val="853"/>
    <w:link w:val="695"/>
    <w:uiPriority w:val="10"/>
    <w:rPr>
      <w:sz w:val="48"/>
      <w:szCs w:val="48"/>
    </w:rPr>
  </w:style>
  <w:style w:type="paragraph" w:styleId="697">
    <w:name w:val="Subtitle"/>
    <w:basedOn w:val="851"/>
    <w:next w:val="851"/>
    <w:link w:val="698"/>
    <w:uiPriority w:val="11"/>
    <w:qFormat/>
    <w:pPr>
      <w:spacing w:before="200" w:after="200"/>
    </w:pPr>
    <w:rPr>
      <w:sz w:val="24"/>
      <w:szCs w:val="24"/>
    </w:rPr>
  </w:style>
  <w:style w:type="character" w:styleId="698">
    <w:name w:val="Subtitle Char"/>
    <w:basedOn w:val="853"/>
    <w:link w:val="697"/>
    <w:uiPriority w:val="11"/>
    <w:rPr>
      <w:sz w:val="24"/>
      <w:szCs w:val="24"/>
    </w:rPr>
  </w:style>
  <w:style w:type="paragraph" w:styleId="699">
    <w:name w:val="Quote"/>
    <w:basedOn w:val="851"/>
    <w:next w:val="851"/>
    <w:link w:val="700"/>
    <w:uiPriority w:val="29"/>
    <w:qFormat/>
    <w:pPr>
      <w:ind w:left="720" w:right="720"/>
    </w:pPr>
    <w:rPr>
      <w:i/>
    </w:rPr>
  </w:style>
  <w:style w:type="character" w:styleId="700">
    <w:name w:val="Quote Char"/>
    <w:link w:val="699"/>
    <w:uiPriority w:val="29"/>
    <w:rPr>
      <w:i/>
    </w:rPr>
  </w:style>
  <w:style w:type="paragraph" w:styleId="701">
    <w:name w:val="Intense Quote"/>
    <w:basedOn w:val="851"/>
    <w:next w:val="851"/>
    <w:link w:val="70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2">
    <w:name w:val="Intense Quote Char"/>
    <w:link w:val="701"/>
    <w:uiPriority w:val="30"/>
    <w:rPr>
      <w:i/>
    </w:rPr>
  </w:style>
  <w:style w:type="paragraph" w:styleId="703">
    <w:name w:val="Header"/>
    <w:basedOn w:val="851"/>
    <w:link w:val="70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4">
    <w:name w:val="Header Char"/>
    <w:basedOn w:val="853"/>
    <w:link w:val="703"/>
    <w:uiPriority w:val="99"/>
  </w:style>
  <w:style w:type="paragraph" w:styleId="705">
    <w:name w:val="Footer"/>
    <w:basedOn w:val="851"/>
    <w:link w:val="70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6">
    <w:name w:val="Footer Char"/>
    <w:basedOn w:val="853"/>
    <w:link w:val="705"/>
    <w:uiPriority w:val="99"/>
  </w:style>
  <w:style w:type="paragraph" w:styleId="707">
    <w:name w:val="Caption"/>
    <w:basedOn w:val="851"/>
    <w:next w:val="85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8">
    <w:name w:val="Caption Char"/>
    <w:basedOn w:val="707"/>
    <w:link w:val="705"/>
    <w:uiPriority w:val="99"/>
  </w:style>
  <w:style w:type="table" w:styleId="709">
    <w:name w:val="Table Grid"/>
    <w:basedOn w:val="85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0">
    <w:name w:val="Table Grid Light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1">
    <w:name w:val="Plain Table 1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2">
    <w:name w:val="Plain Table 2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3">
    <w:name w:val="Plain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4">
    <w:name w:val="Plain Table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>
    <w:name w:val="Plain Table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6">
    <w:name w:val="Grid Table 1 Light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1 Light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2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4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8">
    <w:name w:val="Grid Table 4 - Accent 1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9">
    <w:name w:val="Grid Table 4 - Accent 2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0">
    <w:name w:val="Grid Table 4 - Accent 3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1">
    <w:name w:val="Grid Table 4 - Accent 4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2">
    <w:name w:val="Grid Table 4 - Accent 5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3">
    <w:name w:val="Grid Table 4 - Accent 6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4">
    <w:name w:val="Grid Table 5 Dark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5">
    <w:name w:val="Grid Table 5 Dark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6">
    <w:name w:val="Grid Table 5 Dark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7">
    <w:name w:val="Grid Table 5 Dark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8">
    <w:name w:val="Grid Table 5 Dark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50">
    <w:name w:val="Grid Table 5 Dark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1">
    <w:name w:val="Grid Table 6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2">
    <w:name w:val="Grid Table 6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3">
    <w:name w:val="Grid Table 6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4">
    <w:name w:val="Grid Table 6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5">
    <w:name w:val="Grid Table 6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6">
    <w:name w:val="Grid Table 6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7">
    <w:name w:val="Grid Table 6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8">
    <w:name w:val="Grid Table 7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7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3">
    <w:name w:val="List Table 2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4">
    <w:name w:val="List Table 2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5">
    <w:name w:val="List Table 2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6">
    <w:name w:val="List Table 2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7">
    <w:name w:val="List Table 2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8">
    <w:name w:val="List Table 2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9">
    <w:name w:val="List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3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5 Dark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5 Dark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0">
    <w:name w:val="List Table 6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1">
    <w:name w:val="List Table 6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2">
    <w:name w:val="List Table 6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3">
    <w:name w:val="List Table 6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4">
    <w:name w:val="List Table 6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5">
    <w:name w:val="List Table 6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6">
    <w:name w:val="List Table 6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7">
    <w:name w:val="List Table 7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8">
    <w:name w:val="List Table 7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09">
    <w:name w:val="List Table 7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10">
    <w:name w:val="List Table 7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1">
    <w:name w:val="List Table 7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2">
    <w:name w:val="List Table 7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3">
    <w:name w:val="List Table 7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4">
    <w:name w:val="Lined - Accent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5">
    <w:name w:val="Lined - Accent 1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6">
    <w:name w:val="Lined - Accent 2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7">
    <w:name w:val="Lined - Accent 3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8">
    <w:name w:val="Lined - Accent 4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9">
    <w:name w:val="Lined - Accent 5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0">
    <w:name w:val="Lined - Accent 6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1">
    <w:name w:val="Bordered &amp; Lined - Accent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2">
    <w:name w:val="Bordered &amp; Lined - Accent 1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3">
    <w:name w:val="Bordered &amp; Lined - Accent 2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4">
    <w:name w:val="Bordered &amp; Lined - Accent 3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5">
    <w:name w:val="Bordered &amp; Lined - Accent 4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6">
    <w:name w:val="Bordered &amp; Lined - Accent 5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7">
    <w:name w:val="Bordered &amp; Lined - Accent 6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8">
    <w:name w:val="Bordered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9">
    <w:name w:val="Bordered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0">
    <w:name w:val="Bordered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1">
    <w:name w:val="Bordered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2">
    <w:name w:val="Bordered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3">
    <w:name w:val="Bordered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4">
    <w:name w:val="Bordered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35">
    <w:name w:val="footnote text"/>
    <w:basedOn w:val="851"/>
    <w:link w:val="836"/>
    <w:uiPriority w:val="99"/>
    <w:semiHidden/>
    <w:unhideWhenUsed/>
    <w:pPr>
      <w:spacing w:after="40" w:line="240" w:lineRule="auto"/>
    </w:pPr>
    <w:rPr>
      <w:sz w:val="18"/>
    </w:rPr>
  </w:style>
  <w:style w:type="character" w:styleId="836">
    <w:name w:val="Footnote Text Char"/>
    <w:link w:val="835"/>
    <w:uiPriority w:val="99"/>
    <w:rPr>
      <w:sz w:val="18"/>
    </w:rPr>
  </w:style>
  <w:style w:type="character" w:styleId="837">
    <w:name w:val="footnote reference"/>
    <w:basedOn w:val="853"/>
    <w:uiPriority w:val="99"/>
    <w:unhideWhenUsed/>
    <w:rPr>
      <w:vertAlign w:val="superscript"/>
    </w:rPr>
  </w:style>
  <w:style w:type="paragraph" w:styleId="838">
    <w:name w:val="endnote text"/>
    <w:basedOn w:val="851"/>
    <w:link w:val="839"/>
    <w:uiPriority w:val="99"/>
    <w:semiHidden/>
    <w:unhideWhenUsed/>
    <w:pPr>
      <w:spacing w:after="0" w:line="240" w:lineRule="auto"/>
    </w:pPr>
    <w:rPr>
      <w:sz w:val="20"/>
    </w:rPr>
  </w:style>
  <w:style w:type="character" w:styleId="839">
    <w:name w:val="Endnote Text Char"/>
    <w:link w:val="838"/>
    <w:uiPriority w:val="99"/>
    <w:rPr>
      <w:sz w:val="20"/>
    </w:rPr>
  </w:style>
  <w:style w:type="character" w:styleId="840">
    <w:name w:val="endnote reference"/>
    <w:basedOn w:val="853"/>
    <w:uiPriority w:val="99"/>
    <w:semiHidden/>
    <w:unhideWhenUsed/>
    <w:rPr>
      <w:vertAlign w:val="superscript"/>
    </w:rPr>
  </w:style>
  <w:style w:type="paragraph" w:styleId="841">
    <w:name w:val="toc 1"/>
    <w:basedOn w:val="851"/>
    <w:next w:val="851"/>
    <w:uiPriority w:val="39"/>
    <w:unhideWhenUsed/>
    <w:pPr>
      <w:ind w:left="0" w:right="0" w:firstLine="0"/>
      <w:spacing w:after="57"/>
    </w:pPr>
  </w:style>
  <w:style w:type="paragraph" w:styleId="842">
    <w:name w:val="toc 2"/>
    <w:basedOn w:val="851"/>
    <w:next w:val="851"/>
    <w:uiPriority w:val="39"/>
    <w:unhideWhenUsed/>
    <w:pPr>
      <w:ind w:left="283" w:right="0" w:firstLine="0"/>
      <w:spacing w:after="57"/>
    </w:pPr>
  </w:style>
  <w:style w:type="paragraph" w:styleId="843">
    <w:name w:val="toc 3"/>
    <w:basedOn w:val="851"/>
    <w:next w:val="851"/>
    <w:uiPriority w:val="39"/>
    <w:unhideWhenUsed/>
    <w:pPr>
      <w:ind w:left="567" w:right="0" w:firstLine="0"/>
      <w:spacing w:after="57"/>
    </w:pPr>
  </w:style>
  <w:style w:type="paragraph" w:styleId="844">
    <w:name w:val="toc 5"/>
    <w:basedOn w:val="851"/>
    <w:next w:val="851"/>
    <w:uiPriority w:val="39"/>
    <w:unhideWhenUsed/>
    <w:pPr>
      <w:ind w:left="1134" w:right="0" w:firstLine="0"/>
      <w:spacing w:after="57"/>
    </w:pPr>
  </w:style>
  <w:style w:type="paragraph" w:styleId="845">
    <w:name w:val="toc 6"/>
    <w:basedOn w:val="851"/>
    <w:next w:val="851"/>
    <w:uiPriority w:val="39"/>
    <w:unhideWhenUsed/>
    <w:pPr>
      <w:ind w:left="1417" w:right="0" w:firstLine="0"/>
      <w:spacing w:after="57"/>
    </w:pPr>
  </w:style>
  <w:style w:type="paragraph" w:styleId="846">
    <w:name w:val="toc 7"/>
    <w:basedOn w:val="851"/>
    <w:next w:val="851"/>
    <w:uiPriority w:val="39"/>
    <w:unhideWhenUsed/>
    <w:pPr>
      <w:ind w:left="1701" w:right="0" w:firstLine="0"/>
      <w:spacing w:after="57"/>
    </w:pPr>
  </w:style>
  <w:style w:type="paragraph" w:styleId="847">
    <w:name w:val="toc 8"/>
    <w:basedOn w:val="851"/>
    <w:next w:val="851"/>
    <w:uiPriority w:val="39"/>
    <w:unhideWhenUsed/>
    <w:pPr>
      <w:ind w:left="1984" w:right="0" w:firstLine="0"/>
      <w:spacing w:after="57"/>
    </w:pPr>
  </w:style>
  <w:style w:type="paragraph" w:styleId="848">
    <w:name w:val="toc 9"/>
    <w:basedOn w:val="851"/>
    <w:next w:val="851"/>
    <w:uiPriority w:val="39"/>
    <w:unhideWhenUsed/>
    <w:pPr>
      <w:ind w:left="2268" w:right="0" w:firstLine="0"/>
      <w:spacing w:after="57"/>
    </w:pPr>
  </w:style>
  <w:style w:type="paragraph" w:styleId="849">
    <w:name w:val="TOC Heading"/>
    <w:uiPriority w:val="39"/>
    <w:unhideWhenUsed/>
  </w:style>
  <w:style w:type="paragraph" w:styleId="850">
    <w:name w:val="table of figures"/>
    <w:basedOn w:val="851"/>
    <w:next w:val="851"/>
    <w:uiPriority w:val="99"/>
    <w:unhideWhenUsed/>
    <w:pPr>
      <w:spacing w:after="0" w:afterAutospacing="0"/>
    </w:pPr>
  </w:style>
  <w:style w:type="paragraph" w:styleId="851" w:default="1">
    <w:name w:val="Normal"/>
    <w:qFormat/>
  </w:style>
  <w:style w:type="paragraph" w:styleId="852">
    <w:name w:val="Heading 1"/>
    <w:basedOn w:val="851"/>
    <w:next w:val="851"/>
    <w:link w:val="859"/>
    <w:uiPriority w:val="9"/>
    <w:qFormat/>
    <w:pPr>
      <w:keepLines/>
      <w:keepNext/>
      <w:spacing w:before="240" w:after="0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853" w:default="1">
    <w:name w:val="Default Paragraph Font"/>
    <w:uiPriority w:val="1"/>
    <w:semiHidden/>
    <w:unhideWhenUsed/>
  </w:style>
  <w:style w:type="table" w:styleId="85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5" w:default="1">
    <w:name w:val="No List"/>
    <w:uiPriority w:val="99"/>
    <w:semiHidden/>
    <w:unhideWhenUsed/>
  </w:style>
  <w:style w:type="paragraph" w:styleId="856">
    <w:name w:val="Balloon Text"/>
    <w:basedOn w:val="851"/>
    <w:link w:val="857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57" w:customStyle="1">
    <w:name w:val="Текст выноски Знак"/>
    <w:basedOn w:val="853"/>
    <w:link w:val="856"/>
    <w:uiPriority w:val="99"/>
    <w:semiHidden/>
    <w:rPr>
      <w:rFonts w:ascii="Segoe UI" w:hAnsi="Segoe UI" w:cs="Segoe UI"/>
      <w:sz w:val="18"/>
      <w:szCs w:val="18"/>
    </w:rPr>
  </w:style>
  <w:style w:type="paragraph" w:styleId="858">
    <w:name w:val="No Spacing"/>
    <w:uiPriority w:val="1"/>
    <w:qFormat/>
    <w:pPr>
      <w:spacing w:after="0" w:line="240" w:lineRule="auto"/>
    </w:pPr>
  </w:style>
  <w:style w:type="character" w:styleId="859" w:customStyle="1">
    <w:name w:val="Заголовок 1 Знак"/>
    <w:basedOn w:val="853"/>
    <w:link w:val="852"/>
    <w:uiPriority w:val="9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860">
    <w:name w:val="List Paragraph"/>
    <w:basedOn w:val="851"/>
    <w:uiPriority w:val="34"/>
    <w:qFormat/>
    <w:pPr>
      <w:contextualSpacing/>
      <w:ind w:left="720"/>
      <w:spacing w:line="256" w:lineRule="auto"/>
    </w:pPr>
  </w:style>
  <w:style w:type="character" w:styleId="861">
    <w:name w:val="Hyperlink"/>
    <w:basedOn w:val="853"/>
    <w:uiPriority w:val="99"/>
    <w:unhideWhenUsed/>
    <w:rPr>
      <w:color w:val="0563c1" w:themeColor="hyperlink"/>
      <w:u w:val="single"/>
    </w:rPr>
  </w:style>
  <w:style w:type="character" w:styleId="862">
    <w:name w:val="annotation reference"/>
    <w:basedOn w:val="853"/>
    <w:uiPriority w:val="99"/>
    <w:semiHidden/>
    <w:unhideWhenUsed/>
    <w:rPr>
      <w:sz w:val="16"/>
      <w:szCs w:val="16"/>
    </w:rPr>
  </w:style>
  <w:style w:type="paragraph" w:styleId="863">
    <w:name w:val="annotation text"/>
    <w:basedOn w:val="851"/>
    <w:link w:val="864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864" w:customStyle="1">
    <w:name w:val="Текст примечания Знак"/>
    <w:basedOn w:val="853"/>
    <w:link w:val="863"/>
    <w:uiPriority w:val="99"/>
    <w:semiHidden/>
    <w:rPr>
      <w:sz w:val="20"/>
      <w:szCs w:val="20"/>
    </w:rPr>
  </w:style>
  <w:style w:type="paragraph" w:styleId="865">
    <w:name w:val="annotation subject"/>
    <w:basedOn w:val="863"/>
    <w:next w:val="863"/>
    <w:link w:val="866"/>
    <w:uiPriority w:val="99"/>
    <w:semiHidden/>
    <w:unhideWhenUsed/>
    <w:rPr>
      <w:b/>
      <w:bCs/>
    </w:rPr>
  </w:style>
  <w:style w:type="character" w:styleId="866" w:customStyle="1">
    <w:name w:val="Тема примечания Знак"/>
    <w:basedOn w:val="864"/>
    <w:link w:val="865"/>
    <w:uiPriority w:val="99"/>
    <w:semiHidden/>
    <w:rPr>
      <w:b/>
      <w:bCs/>
      <w:sz w:val="20"/>
      <w:szCs w:val="20"/>
    </w:rPr>
  </w:style>
  <w:style w:type="paragraph" w:styleId="867">
    <w:name w:val="toc 4"/>
    <w:basedOn w:val="851"/>
    <w:next w:val="851"/>
    <w:link w:val="868"/>
    <w:uiPriority w:val="39"/>
    <w:semiHidden/>
    <w:unhideWhenUsed/>
    <w:pPr>
      <w:ind w:left="660"/>
      <w:spacing w:after="100"/>
    </w:pPr>
  </w:style>
  <w:style w:type="character" w:styleId="868" w:customStyle="1">
    <w:name w:val="Оглавление 4 Знак"/>
    <w:link w:val="867"/>
    <w:uiPriority w:val="39"/>
    <w:semiHidden/>
  </w:style>
  <w:style w:type="paragraph" w:styleId="869" w:customStyle="1">
    <w:name w:val="Normal (Web)"/>
    <w:uiPriority w:val="99"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100" w:beforeAutospacing="1" w:after="100" w:afterAutospacing="1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Relationship Id="rId10" Type="http://schemas.openxmlformats.org/officeDocument/2006/relationships/hyperlink" Target="mailto:help@lkkadastr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Р7-Офис/2024.4.1.625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Пушкарская Диана Дмитриевна</dc:creator>
  <cp:revision>18</cp:revision>
  <dcterms:created xsi:type="dcterms:W3CDTF">2024-10-01T14:30:00Z</dcterms:created>
  <dcterms:modified xsi:type="dcterms:W3CDTF">2025-09-15T13:55:35Z</dcterms:modified>
</cp:coreProperties>
</file>