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0"/>
      </w:pPr>
      <w:r/>
      <w:r/>
    </w:p>
    <w:p>
      <w:pPr>
        <w:pStyle w:val="86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25.06.2025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contextualSpacing/>
        <w:ind w:left="360"/>
        <w:jc w:val="center"/>
        <w:spacing w:after="20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0" w:right="0" w:firstLine="0"/>
        <w:jc w:val="center"/>
        <w:spacing w:before="0" w:after="0"/>
        <w:rPr>
          <w:rFonts w:ascii="Tinos" w:hAnsi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Может ли экс-супруг запросить выписку из ЕГРН</w:t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/>
          <w:bCs/>
          <w:color w:val="292c2f"/>
          <w:sz w:val="28"/>
          <w:szCs w:val="28"/>
          <w:highlight w:val="none"/>
        </w:rPr>
        <w:t xml:space="preserve">с</w:t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персональными данными</w:t>
      </w: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 собственник</w:t>
      </w:r>
      <w:r>
        <w:rPr>
          <w:rFonts w:ascii="Tinos" w:hAnsi="Tinos" w:eastAsia="Tinos" w:cs="Tinos"/>
          <w:b/>
          <w:bCs/>
          <w:color w:val="292c2f"/>
          <w:sz w:val="28"/>
          <w:szCs w:val="28"/>
          <w:highlight w:val="none"/>
        </w:rPr>
        <w:t xml:space="preserve">а?</w:t>
      </w:r>
      <w:r>
        <w:rPr>
          <w:rFonts w:ascii="Tinos" w:hAnsi="Tinos" w:cs="Tinos"/>
          <w:color w:val="000000"/>
          <w:sz w:val="28"/>
          <w:szCs w:val="28"/>
          <w:highlight w:val="none"/>
        </w:rPr>
      </w:r>
      <w:r>
        <w:rPr>
          <w:rFonts w:ascii="Tinos" w:hAnsi="Tinos" w:cs="Tinos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/>
        <w:rPr>
          <w:rFonts w:ascii="Roboto" w:hAnsi="Roboto" w:eastAsia="Roboto" w:cs="Roboto"/>
          <w:color w:val="292c2f"/>
          <w:sz w:val="21"/>
          <w:szCs w:val="21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Roboto" w:hAnsi="Roboto" w:eastAsia="Roboto" w:cs="Roboto"/>
          <w:color w:val="292c2f"/>
          <w:sz w:val="21"/>
          <w:highlight w:val="none"/>
        </w:rPr>
      </w:r>
      <w:r>
        <w:rPr>
          <w:rFonts w:ascii="Roboto" w:hAnsi="Roboto" w:eastAsia="Roboto" w:cs="Roboto"/>
          <w:color w:val="292c2f"/>
          <w:sz w:val="21"/>
          <w:szCs w:val="21"/>
          <w:highlight w:val="none"/>
        </w:rPr>
      </w:r>
      <w:r>
        <w:rPr>
          <w:rFonts w:ascii="Roboto" w:hAnsi="Roboto" w:eastAsia="Roboto" w:cs="Roboto"/>
          <w:color w:val="292c2f"/>
          <w:sz w:val="21"/>
          <w:szCs w:val="21"/>
          <w:highlight w:val="none"/>
        </w:rPr>
      </w:r>
    </w:p>
    <w:p>
      <w:pPr>
        <w:pStyle w:val="683"/>
        <w:ind w:left="0" w:right="0" w:firstLine="0"/>
        <w:jc w:val="both"/>
        <w:spacing w:before="390" w:after="540" w:line="240" w:lineRule="auto"/>
        <w:rPr>
          <w:rFonts w:ascii="Tinos" w:hAnsi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color w:val="06060f"/>
          <w:sz w:val="28"/>
          <w:szCs w:val="28"/>
          <w:highlight w:val="white"/>
        </w:rPr>
        <w:t xml:space="preserve">В рамках постоянной рубрики «Вопросы-ответ» Управление Росреестра по Республике Адыгея публикует ответы на наиболее популярные вопросы, которые поступают в ведомство от заявителей.</w:t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jc w:val="both"/>
        <w:rPr>
          <w:rFonts w:ascii="Tinos" w:hAnsi="Tinos" w:eastAsia="Tinos" w:cs="Tinos"/>
          <w:sz w:val="28"/>
          <w:szCs w:val="28"/>
          <w:highlight w:val="none"/>
        </w:rPr>
      </w:pPr>
      <w:r/>
      <w:r>
        <w:rPr>
          <w:rFonts w:ascii="Tinos" w:hAnsi="Tinos" w:eastAsia="Tinos" w:cs="Tinos"/>
          <w:b/>
          <w:bCs/>
          <w:i/>
          <w:iCs/>
          <w:color w:val="000000"/>
          <w:sz w:val="28"/>
          <w:szCs w:val="28"/>
        </w:rPr>
        <w:t xml:space="preserve">Может ли экс-супруг запросить выписку из ЕГРН</w:t>
      </w:r>
      <w:r>
        <w:rPr>
          <w:rFonts w:ascii="Tinos" w:hAnsi="Tinos" w:eastAsia="Tinos" w:cs="Tinos"/>
          <w:b/>
          <w:bCs/>
          <w:i/>
          <w:iCs/>
          <w:color w:val="292c2f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/>
          <w:bCs/>
          <w:i/>
          <w:iCs/>
          <w:color w:val="292c2f"/>
          <w:sz w:val="28"/>
          <w:szCs w:val="28"/>
          <w:highlight w:val="none"/>
        </w:rPr>
        <w:t xml:space="preserve">с</w:t>
      </w:r>
      <w:r>
        <w:rPr>
          <w:rFonts w:ascii="Tinos" w:hAnsi="Tinos" w:eastAsia="Tinos" w:cs="Tinos"/>
          <w:b/>
          <w:bCs/>
          <w:i/>
          <w:iCs/>
          <w:color w:val="292c2f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/>
          <w:bCs/>
          <w:i/>
          <w:iCs/>
          <w:color w:val="000000"/>
          <w:sz w:val="28"/>
          <w:szCs w:val="28"/>
        </w:rPr>
        <w:t xml:space="preserve">персональными данными</w:t>
      </w:r>
      <w:r>
        <w:rPr>
          <w:rFonts w:ascii="Tinos" w:hAnsi="Tinos" w:eastAsia="Tinos" w:cs="Tinos"/>
          <w:b/>
          <w:bCs/>
          <w:i/>
          <w:iCs/>
          <w:color w:val="000000"/>
          <w:sz w:val="28"/>
          <w:szCs w:val="28"/>
        </w:rPr>
        <w:t xml:space="preserve"> собственник</w:t>
      </w:r>
      <w:r>
        <w:rPr>
          <w:rFonts w:ascii="Tinos" w:hAnsi="Tinos" w:eastAsia="Tinos" w:cs="Tinos"/>
          <w:sz w:val="28"/>
          <w:szCs w:val="28"/>
        </w:rPr>
        <w:t xml:space="preserve">а?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both"/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Сведения, </w:t>
      </w:r>
      <w:r>
        <w:rPr>
          <w:rFonts w:ascii="Tinos" w:hAnsi="Tinos" w:eastAsia="Tinos" w:cs="Tinos"/>
          <w:sz w:val="28"/>
          <w:szCs w:val="28"/>
        </w:rPr>
        <w:t xml:space="preserve">содержащихся в Едином государственном реестре недвижимости (ЕГРН),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предоставляются публично-правовой компанией «Роскадастр» </w:t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на основании соответствующих </w:t>
      </w:r>
      <w:hyperlink r:id="rId10" w:tooltip="https://rosreestr.gov.ru/activity/okazanie-gosudarstvennykh-uslug/predostavlenie-svedeniy-egrn/blanki-obraztsy-zayavleniy-xml-skhem/" w:history="1">
        <w:r>
          <w:rPr>
            <w:rStyle w:val="1_909"/>
            <w:rFonts w:ascii="Tinos" w:hAnsi="Tinos" w:eastAsia="Tinos" w:cs="Tinos"/>
            <w:color w:val="0d0d0d" w:themeColor="text1" w:themeTint="F2"/>
            <w:sz w:val="28"/>
            <w:szCs w:val="28"/>
            <w:u w:val="none"/>
          </w:rPr>
          <w:t xml:space="preserve">запросов</w:t>
        </w:r>
      </w:hyperlink>
      <w:r>
        <w:rPr>
          <w:rFonts w:ascii="Tinos" w:hAnsi="Tinos" w:eastAsia="Tinos" w:cs="Tinos"/>
          <w:sz w:val="28"/>
          <w:szCs w:val="28"/>
          <w:highlight w:val="none"/>
        </w:rPr>
        <w:t xml:space="preserve"> в форм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е электронного документа или в форме документа на бумажном носителе в виде копии документа, на основании которого сведения внесены в реестр недвижимости, выписки из ЕГРН или ином виде, установленном органом нормативно-пр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авового регулирования (ст.62 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Федерального закона от 13.07.2015 № 218-ФЗ «О государственной регистрации недвижимости»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)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.                                                   </w:t>
      </w:r>
      <w:r>
        <w:rPr>
          <w:highlight w:val="none"/>
        </w:rPr>
      </w:r>
      <w:r/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Что касается возможности получения актуальных сведений из ЕГРН в отношении объектов недвижимости, принадлежащих 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бывшему супруг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у, то необходимо напомнить, что </w:t>
      </w:r>
      <w:r>
        <w:rPr>
          <w:rFonts w:ascii="Tinos" w:hAnsi="Tinos" w:eastAsia="Tinos" w:cs="Tinos"/>
          <w:sz w:val="28"/>
          <w:szCs w:val="28"/>
        </w:rPr>
        <w:t xml:space="preserve">персональные данные собственников недвижимости, содержащиеся в ЕГРН, относятся к сведениям ограниченного доступа. Законом 218-ФЗ с 1 марта 2023 года установлен новый порядо</w:t>
      </w:r>
      <w:r>
        <w:rPr>
          <w:rFonts w:ascii="Tinos" w:hAnsi="Tinos" w:eastAsia="Tinos" w:cs="Tinos"/>
          <w:sz w:val="28"/>
          <w:szCs w:val="28"/>
        </w:rPr>
        <w:t xml:space="preserve">к предоставления персональных данных в составе выписок из ЕГРН. Теперь такие сведения доступны третьим лицам только с согласия правообладателя при наличии в ЕГРН соответствующей записи, внесенной по заявлению самого правообладателя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(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ст.36.3.,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ч.7.1. ст.62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З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акона № 218-ФЗ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).</w:t>
      </w:r>
      <w:r>
        <w:rPr>
          <w:highlight w:val="none"/>
        </w:rPr>
      </w:r>
      <w:r/>
    </w:p>
    <w:p>
      <w:pPr>
        <w:pStyle w:val="683"/>
        <w:ind w:left="0" w:right="0" w:firstLine="0"/>
        <w:jc w:val="both"/>
        <w:spacing w:before="390" w:after="540"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Вместе с тем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супруг или супруга правообладателя может получить выписку из ЕГРН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  <w:highlight w:val="white"/>
        </w:rPr>
        <w:t xml:space="preserve">с персональными данными правообладателя, включая копии правоустанавливающих документ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  <w:highlight w:val="none"/>
        </w:rPr>
        <w:t xml:space="preserve">ов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без согласия собственника, но только в период брака.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0"/>
        <w:jc w:val="both"/>
        <w:spacing w:after="0" w:line="240" w:lineRule="auto"/>
        <w:shd w:val="clear" w:color="auto" w:fill="ffffff" w:themeFill="background1"/>
        <w:rPr>
          <w:rFonts w:ascii="Tinos" w:hAnsi="Tinos" w:cs="Tinos"/>
          <w:bCs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Cs/>
          <w:color w:val="000000" w:themeColor="text1"/>
          <w:sz w:val="28"/>
          <w:szCs w:val="28"/>
          <w:lang w:eastAsia="ru-RU"/>
        </w:rPr>
        <w:t xml:space="preserve">В ином случа</w:t>
      </w:r>
      <w:r>
        <w:rPr>
          <w:rFonts w:ascii="Tinos" w:hAnsi="Tinos" w:eastAsia="Tinos" w:cs="Tinos"/>
          <w:bCs/>
          <w:color w:val="000000" w:themeColor="text1"/>
          <w:sz w:val="28"/>
          <w:szCs w:val="28"/>
          <w:lang w:eastAsia="ru-RU"/>
        </w:rPr>
        <w:t xml:space="preserve">е</w:t>
      </w:r>
      <w:r>
        <w:rPr>
          <w:rFonts w:ascii="Tinos" w:hAnsi="Tinos" w:eastAsia="Tinos" w:cs="Tinos"/>
          <w:bCs/>
          <w:color w:val="000000" w:themeColor="text1"/>
          <w:sz w:val="28"/>
          <w:szCs w:val="28"/>
          <w:lang w:eastAsia="ru-RU"/>
        </w:rPr>
        <w:t xml:space="preserve">, в выписку из ЕГРН включаются только сведения о принадлежности данного объекта физическому лицу или наличии </w:t>
      </w:r>
      <w:r>
        <w:rPr>
          <w:rFonts w:ascii="Tinos" w:hAnsi="Tinos" w:eastAsia="Tinos" w:cs="Tinos"/>
          <w:bCs/>
          <w:color w:val="000000" w:themeColor="text1"/>
          <w:sz w:val="28"/>
          <w:szCs w:val="28"/>
          <w:lang w:eastAsia="ru-RU"/>
        </w:rPr>
        <w:t xml:space="preserve">ограничений прав и обременений объекта недвижимости, зарегистрированных в пользу данного лица, без указания персональных данных правообладателя. </w:t>
      </w:r>
      <w:r>
        <w:rPr>
          <w:rFonts w:ascii="Tinos" w:hAnsi="Tinos" w:cs="Tinos"/>
          <w:bCs/>
          <w:color w:val="000000" w:themeColor="text1"/>
          <w:sz w:val="28"/>
          <w:szCs w:val="28"/>
        </w:rPr>
      </w:r>
      <w:r>
        <w:rPr>
          <w:rFonts w:ascii="Tinos" w:hAnsi="Tinos" w:cs="Tinos"/>
          <w:bCs/>
          <w:color w:val="000000" w:themeColor="text1"/>
          <w:sz w:val="28"/>
          <w:szCs w:val="28"/>
        </w:rPr>
      </w:r>
    </w:p>
    <w:p>
      <w:pPr>
        <w:jc w:val="both"/>
        <w:spacing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jc w:val="both"/>
        <w:spacing w:line="240" w:lineRule="auto"/>
        <w:rPr>
          <w:rFonts w:ascii="Tinos" w:hAnsi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При наличии соответствующего материально-правового интереса экс-супруги могут обратиться к нотариусу для получения сведений о правообладателе недвижимости.</w:t>
      </w:r>
      <w:r>
        <w:rPr>
          <w:rFonts w:ascii="Tinos" w:hAnsi="Tinos" w:cs="Tinos"/>
          <w:color w:val="000000"/>
          <w:sz w:val="28"/>
          <w:szCs w:val="28"/>
          <w:highlight w:val="none"/>
        </w:rPr>
      </w:r>
      <w:r>
        <w:rPr>
          <w:rFonts w:ascii="Tinos" w:hAnsi="Tinos" w:cs="Tinos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360" w:lineRule="auto"/>
        <w:shd w:val="clear" w:color="ffffff" w:fill="ffffff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300" w:line="360" w:lineRule="auto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375" w:line="240" w:lineRule="auto"/>
        <w:rPr>
          <w:rFonts w:ascii="Tinos" w:hAnsi="Tinos" w:eastAsia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contextualSpacing/>
        <w:ind w:left="360"/>
        <w:jc w:val="both"/>
        <w:spacing w:after="20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43b4c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43b4c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43b4c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43b4c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43b4c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43b4c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43b4c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43b4c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43b4c"/>
        <w:sz w:val="24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0">
    <w:name w:val="Heading 1 Char"/>
    <w:basedOn w:val="855"/>
    <w:link w:val="854"/>
    <w:uiPriority w:val="9"/>
    <w:rPr>
      <w:rFonts w:ascii="Arial" w:hAnsi="Arial" w:eastAsia="Arial" w:cs="Arial"/>
      <w:sz w:val="40"/>
      <w:szCs w:val="40"/>
    </w:rPr>
  </w:style>
  <w:style w:type="paragraph" w:styleId="681">
    <w:name w:val="Heading 2"/>
    <w:basedOn w:val="853"/>
    <w:next w:val="853"/>
    <w:link w:val="6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2">
    <w:name w:val="Heading 2 Char"/>
    <w:basedOn w:val="855"/>
    <w:link w:val="681"/>
    <w:uiPriority w:val="9"/>
    <w:rPr>
      <w:rFonts w:ascii="Arial" w:hAnsi="Arial" w:eastAsia="Arial" w:cs="Arial"/>
      <w:sz w:val="34"/>
    </w:rPr>
  </w:style>
  <w:style w:type="paragraph" w:styleId="683">
    <w:name w:val="Heading 3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4">
    <w:name w:val="Heading 3 Char"/>
    <w:basedOn w:val="855"/>
    <w:link w:val="683"/>
    <w:uiPriority w:val="9"/>
    <w:rPr>
      <w:rFonts w:ascii="Arial" w:hAnsi="Arial" w:eastAsia="Arial" w:cs="Arial"/>
      <w:sz w:val="30"/>
      <w:szCs w:val="30"/>
    </w:rPr>
  </w:style>
  <w:style w:type="paragraph" w:styleId="685">
    <w:name w:val="Heading 4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6">
    <w:name w:val="Heading 4 Char"/>
    <w:basedOn w:val="855"/>
    <w:link w:val="685"/>
    <w:uiPriority w:val="9"/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8">
    <w:name w:val="Heading 5 Char"/>
    <w:basedOn w:val="855"/>
    <w:link w:val="687"/>
    <w:uiPriority w:val="9"/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0">
    <w:name w:val="Heading 6 Char"/>
    <w:basedOn w:val="855"/>
    <w:link w:val="689"/>
    <w:uiPriority w:val="9"/>
    <w:rPr>
      <w:rFonts w:ascii="Arial" w:hAnsi="Arial" w:eastAsia="Arial" w:cs="Arial"/>
      <w:b/>
      <w:bCs/>
      <w:sz w:val="22"/>
      <w:szCs w:val="22"/>
    </w:rPr>
  </w:style>
  <w:style w:type="paragraph" w:styleId="691">
    <w:name w:val="Heading 7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2">
    <w:name w:val="Heading 7 Char"/>
    <w:basedOn w:val="855"/>
    <w:link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3">
    <w:name w:val="Heading 8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4">
    <w:name w:val="Heading 8 Char"/>
    <w:basedOn w:val="855"/>
    <w:link w:val="693"/>
    <w:uiPriority w:val="9"/>
    <w:rPr>
      <w:rFonts w:ascii="Arial" w:hAnsi="Arial" w:eastAsia="Arial" w:cs="Arial"/>
      <w:i/>
      <w:iCs/>
      <w:sz w:val="22"/>
      <w:szCs w:val="22"/>
    </w:rPr>
  </w:style>
  <w:style w:type="paragraph" w:styleId="695">
    <w:name w:val="Heading 9"/>
    <w:basedOn w:val="853"/>
    <w:next w:val="853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>
    <w:name w:val="Heading 9 Char"/>
    <w:basedOn w:val="855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Title"/>
    <w:basedOn w:val="853"/>
    <w:next w:val="853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basedOn w:val="855"/>
    <w:link w:val="697"/>
    <w:uiPriority w:val="10"/>
    <w:rPr>
      <w:sz w:val="48"/>
      <w:szCs w:val="48"/>
    </w:rPr>
  </w:style>
  <w:style w:type="paragraph" w:styleId="699">
    <w:name w:val="Subtitle"/>
    <w:basedOn w:val="853"/>
    <w:next w:val="853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basedOn w:val="855"/>
    <w:link w:val="699"/>
    <w:uiPriority w:val="11"/>
    <w:rPr>
      <w:sz w:val="24"/>
      <w:szCs w:val="24"/>
    </w:rPr>
  </w:style>
  <w:style w:type="paragraph" w:styleId="701">
    <w:name w:val="Quote"/>
    <w:basedOn w:val="853"/>
    <w:next w:val="853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3"/>
    <w:next w:val="853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paragraph" w:styleId="705">
    <w:name w:val="Head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Header Char"/>
    <w:basedOn w:val="855"/>
    <w:link w:val="705"/>
    <w:uiPriority w:val="99"/>
  </w:style>
  <w:style w:type="paragraph" w:styleId="707">
    <w:name w:val="Footer"/>
    <w:basedOn w:val="853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Footer Char"/>
    <w:basedOn w:val="855"/>
    <w:link w:val="707"/>
    <w:uiPriority w:val="99"/>
  </w:style>
  <w:style w:type="paragraph" w:styleId="709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707"/>
    <w:uiPriority w:val="99"/>
  </w:style>
  <w:style w:type="table" w:styleId="711">
    <w:name w:val="Table Grid"/>
    <w:basedOn w:val="8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1">
    <w:name w:val="List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2">
    <w:name w:val="List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3">
    <w:name w:val="List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4">
    <w:name w:val="List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5">
    <w:name w:val="List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6">
    <w:name w:val="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 &amp; 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5">
    <w:name w:val="Bordered &amp; 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6">
    <w:name w:val="Bordered &amp; 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7">
    <w:name w:val="Bordered &amp; 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8">
    <w:name w:val="Bordered &amp; 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9">
    <w:name w:val="Bordered &amp; 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0">
    <w:name w:val="Bordered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7">
    <w:name w:val="footnote text"/>
    <w:basedOn w:val="853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basedOn w:val="855"/>
    <w:uiPriority w:val="99"/>
    <w:unhideWhenUsed/>
    <w:rPr>
      <w:vertAlign w:val="superscript"/>
    </w:rPr>
  </w:style>
  <w:style w:type="paragraph" w:styleId="840">
    <w:name w:val="endnote text"/>
    <w:basedOn w:val="853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basedOn w:val="855"/>
    <w:uiPriority w:val="99"/>
    <w:semiHidden/>
    <w:unhideWhenUsed/>
    <w:rPr>
      <w:vertAlign w:val="superscript"/>
    </w:rPr>
  </w:style>
  <w:style w:type="paragraph" w:styleId="843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paragraph" w:styleId="854">
    <w:name w:val="Heading 1"/>
    <w:basedOn w:val="853"/>
    <w:next w:val="853"/>
    <w:link w:val="861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5" w:default="1">
    <w:name w:val="Default Paragraph Font"/>
    <w:uiPriority w:val="1"/>
    <w:semiHidden/>
    <w:unhideWhenUsed/>
  </w:style>
  <w:style w:type="table" w:styleId="8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7" w:default="1">
    <w:name w:val="No List"/>
    <w:uiPriority w:val="99"/>
    <w:semiHidden/>
    <w:unhideWhenUsed/>
  </w:style>
  <w:style w:type="paragraph" w:styleId="858">
    <w:name w:val="Balloon Text"/>
    <w:basedOn w:val="853"/>
    <w:link w:val="8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9" w:customStyle="1">
    <w:name w:val="Текст выноски Знак"/>
    <w:basedOn w:val="855"/>
    <w:link w:val="858"/>
    <w:uiPriority w:val="99"/>
    <w:semiHidden/>
    <w:rPr>
      <w:rFonts w:ascii="Segoe UI" w:hAnsi="Segoe UI" w:cs="Segoe UI"/>
      <w:sz w:val="18"/>
      <w:szCs w:val="18"/>
    </w:rPr>
  </w:style>
  <w:style w:type="paragraph" w:styleId="860">
    <w:name w:val="No Spacing"/>
    <w:uiPriority w:val="1"/>
    <w:qFormat/>
    <w:pPr>
      <w:spacing w:after="0" w:line="240" w:lineRule="auto"/>
    </w:pPr>
  </w:style>
  <w:style w:type="character" w:styleId="861" w:customStyle="1">
    <w:name w:val="Заголовок 1 Знак"/>
    <w:basedOn w:val="855"/>
    <w:link w:val="85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2">
    <w:name w:val="List Paragraph"/>
    <w:basedOn w:val="853"/>
    <w:uiPriority w:val="34"/>
    <w:qFormat/>
    <w:pPr>
      <w:contextualSpacing/>
      <w:ind w:left="720"/>
      <w:spacing w:line="256" w:lineRule="auto"/>
    </w:pPr>
  </w:style>
  <w:style w:type="character" w:styleId="863">
    <w:name w:val="Hyperlink"/>
    <w:basedOn w:val="855"/>
    <w:uiPriority w:val="99"/>
    <w:unhideWhenUsed/>
    <w:rPr>
      <w:color w:val="0563c1" w:themeColor="hyperlink"/>
      <w:u w:val="single"/>
    </w:rPr>
  </w:style>
  <w:style w:type="character" w:styleId="864">
    <w:name w:val="annotation reference"/>
    <w:basedOn w:val="855"/>
    <w:uiPriority w:val="99"/>
    <w:semiHidden/>
    <w:unhideWhenUsed/>
    <w:rPr>
      <w:sz w:val="16"/>
      <w:szCs w:val="16"/>
    </w:rPr>
  </w:style>
  <w:style w:type="paragraph" w:styleId="865">
    <w:name w:val="annotation text"/>
    <w:basedOn w:val="853"/>
    <w:link w:val="86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6" w:customStyle="1">
    <w:name w:val="Текст примечания Знак"/>
    <w:basedOn w:val="855"/>
    <w:link w:val="865"/>
    <w:uiPriority w:val="99"/>
    <w:semiHidden/>
    <w:rPr>
      <w:sz w:val="20"/>
      <w:szCs w:val="20"/>
    </w:rPr>
  </w:style>
  <w:style w:type="paragraph" w:styleId="867">
    <w:name w:val="annotation subject"/>
    <w:basedOn w:val="865"/>
    <w:next w:val="865"/>
    <w:link w:val="868"/>
    <w:uiPriority w:val="99"/>
    <w:semiHidden/>
    <w:unhideWhenUsed/>
    <w:rPr>
      <w:b/>
      <w:bCs/>
    </w:rPr>
  </w:style>
  <w:style w:type="character" w:styleId="868" w:customStyle="1">
    <w:name w:val="Тема примечания Знак"/>
    <w:basedOn w:val="866"/>
    <w:link w:val="867"/>
    <w:uiPriority w:val="99"/>
    <w:semiHidden/>
    <w:rPr>
      <w:b/>
      <w:bCs/>
      <w:sz w:val="20"/>
      <w:szCs w:val="20"/>
    </w:rPr>
  </w:style>
  <w:style w:type="paragraph" w:styleId="869">
    <w:name w:val="toc 4"/>
    <w:basedOn w:val="853"/>
    <w:next w:val="853"/>
    <w:link w:val="870"/>
    <w:uiPriority w:val="39"/>
    <w:semiHidden/>
    <w:unhideWhenUsed/>
    <w:pPr>
      <w:ind w:left="660"/>
      <w:spacing w:after="100"/>
    </w:pPr>
  </w:style>
  <w:style w:type="character" w:styleId="870" w:customStyle="1">
    <w:name w:val="Оглавление 4 Знак"/>
    <w:link w:val="869"/>
    <w:uiPriority w:val="39"/>
    <w:semiHidden/>
  </w:style>
  <w:style w:type="paragraph" w:styleId="871" w:customStyle="1">
    <w:name w:val="Normal (Web)"/>
    <w:basedOn w:val="72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72" w:customStyle="1">
    <w:name w:val="Обычный (веб)"/>
    <w:basedOn w:val="687"/>
    <w:next w:val="693"/>
    <w:link w:val="687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1_909" w:customStyle="1">
    <w:name w:val="Гиперссылка"/>
    <w:next w:val="846"/>
    <w:link w:val="836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rosreestr.gov.ru/activity/okazanie-gosudarstvennykh-uslug/predostavlenie-svedeniy-egrn/blanki-obraztsy-zayavleniy-xml-skhem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28</cp:revision>
  <dcterms:created xsi:type="dcterms:W3CDTF">2024-10-01T14:30:00Z</dcterms:created>
  <dcterms:modified xsi:type="dcterms:W3CDTF">2025-06-25T11:56:54Z</dcterms:modified>
</cp:coreProperties>
</file>