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91"/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984211" cy="729205"/>
                <wp:effectExtent l="0" t="0" r="0" b="0"/>
                <wp:docPr id="1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Рисунок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2045546" cy="75174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156.24pt;height:57.42pt;mso-wrap-distance-left:0.00pt;mso-wrap-distance-top:0.00pt;mso-wrap-distance-right:0.00pt;mso-wrap-distance-bottom:0.00pt;z-index:1;" stroked="false">
                <v:imagedata r:id="rId9" o:title=""/>
                <o:lock v:ext="edit" rotation="t"/>
              </v:shape>
            </w:pict>
          </mc:Fallback>
        </mc:AlternateContent>
      </w:r>
      <w:r>
        <w:t xml:space="preserve">                                                                                                                                        </w:t>
      </w:r>
      <w:r/>
    </w:p>
    <w:p>
      <w:pPr>
        <w:pStyle w:val="891"/>
      </w:pPr>
      <w:r/>
      <w:r/>
    </w:p>
    <w:p>
      <w:pPr>
        <w:pStyle w:val="891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</w:r>
      <w:r>
        <w:rPr>
          <w:rFonts w:ascii="Times New Roman" w:hAnsi="Times New Roman" w:cs="Times New Roman"/>
          <w:b/>
          <w:bCs/>
          <w:sz w:val="26"/>
          <w:szCs w:val="26"/>
        </w:rPr>
      </w:r>
      <w:r>
        <w:rPr>
          <w:rFonts w:ascii="Times New Roman" w:hAnsi="Times New Roman" w:cs="Times New Roman"/>
          <w:b/>
          <w:bCs/>
          <w:sz w:val="26"/>
          <w:szCs w:val="26"/>
        </w:rPr>
      </w:r>
    </w:p>
    <w:p>
      <w:pPr>
        <w:ind w:left="0" w:right="0" w:firstLine="0"/>
        <w:jc w:val="center"/>
        <w:rPr>
          <w:rFonts w:ascii="Tinos" w:hAnsi="Tinos" w:eastAsia="Tinos" w:cs="Tinos"/>
          <w:b/>
          <w:bCs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/>
          <w:bCs/>
          <w:sz w:val="28"/>
          <w:szCs w:val="28"/>
        </w:rPr>
        <w:t xml:space="preserve">«Земля — стратегический ресурс»: интервью с руководителем Управления Росреестра по Республике Адыгея Мариетой Емыковой</w:t>
      </w:r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</w:p>
    <w:p>
      <w:pPr>
        <w:ind w:left="0" w:right="0" w:firstLine="0"/>
        <w:jc w:val="center"/>
        <w:rPr>
          <w:rFonts w:ascii="Tinos" w:hAnsi="Tinos" w:cs="Tinos"/>
          <w:b/>
          <w:bCs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  <w:r>
        <w:rPr>
          <w:rFonts w:ascii="Tinos" w:hAnsi="Tinos" w:cs="Tinos"/>
          <w:b/>
          <w:bCs/>
          <w:sz w:val="28"/>
          <w:szCs w:val="28"/>
        </w:rPr>
      </w:r>
      <w:r>
        <w:rPr>
          <w:rFonts w:ascii="Tinos" w:hAnsi="Tinos" w:cs="Tinos"/>
          <w:b/>
          <w:bCs/>
          <w:sz w:val="28"/>
          <w:szCs w:val="28"/>
        </w:rPr>
      </w:r>
    </w:p>
    <w:p>
      <w:pPr>
        <w:ind w:left="0" w:right="0" w:firstLine="0"/>
        <w:jc w:val="both"/>
        <w:rPr>
          <w:rFonts w:ascii="Tinos" w:hAnsi="Tinos" w:cs="Tinos"/>
          <w:b/>
          <w:bCs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  <w:t xml:space="preserve">— </w:t>
      </w:r>
      <w:r>
        <w:rPr>
          <w:rFonts w:ascii="Tinos" w:hAnsi="Tinos" w:eastAsia="Tinos" w:cs="Tinos"/>
          <w:b/>
          <w:bCs/>
          <w:sz w:val="28"/>
          <w:szCs w:val="28"/>
        </w:rPr>
        <w:t xml:space="preserve">Мариета Испановна, сегодня управление земельными ресурсами считают одним из драйверов развития региональной экономики. В чём заключается его особая значимость?</w:t>
      </w:r>
      <w:r>
        <w:rPr>
          <w:rFonts w:ascii="Tinos" w:hAnsi="Tinos" w:cs="Tinos"/>
          <w:b/>
          <w:bCs/>
          <w:sz w:val="28"/>
          <w:szCs w:val="28"/>
        </w:rPr>
      </w:r>
      <w:r>
        <w:rPr>
          <w:rFonts w:ascii="Tinos" w:hAnsi="Tinos" w:cs="Tinos"/>
          <w:b/>
          <w:bCs/>
          <w:sz w:val="28"/>
          <w:szCs w:val="28"/>
        </w:rPr>
      </w:r>
    </w:p>
    <w:p>
      <w:pPr>
        <w:ind w:left="0" w:right="0" w:firstLine="0"/>
        <w:jc w:val="both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  <w:t xml:space="preserve">— Земля — базовый ресурс, от грамотного распоряжения которым зависит благополучие республики. Рациональное использование земельных участков обеспечивает рост поступлений в бюджет за счёт имущественных налогов. Эти средства позволяют реализовывать важнейшие</w:t>
      </w:r>
      <w:r>
        <w:rPr>
          <w:rFonts w:ascii="Tinos" w:hAnsi="Tinos" w:eastAsia="Tinos" w:cs="Tinos"/>
          <w:sz w:val="28"/>
          <w:szCs w:val="28"/>
        </w:rPr>
        <w:t xml:space="preserve"> социальные проекты: строить дороги, школы, больницы, детские сады. Чтобы экономика развивалась динамично, каждый земельный участок должен приносить пользу. Сейчас, когда Адыгея участвует в масштабных национальных проектах и государственных программах, воп</w:t>
      </w:r>
      <w:r>
        <w:rPr>
          <w:rFonts w:ascii="Tinos" w:hAnsi="Tinos" w:eastAsia="Tinos" w:cs="Tinos"/>
          <w:sz w:val="28"/>
          <w:szCs w:val="28"/>
        </w:rPr>
        <w:t xml:space="preserve">рос эффективного землепользования становится особенно актуальным.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ind w:left="0" w:right="0" w:firstLine="0"/>
        <w:jc w:val="both"/>
        <w:rPr>
          <w:rFonts w:ascii="Tinos" w:hAnsi="Tinos" w:cs="Tinos"/>
          <w:b/>
          <w:bCs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  <w:t xml:space="preserve">— </w:t>
      </w:r>
      <w:r>
        <w:rPr>
          <w:rFonts w:ascii="Tinos" w:hAnsi="Tinos" w:eastAsia="Tinos" w:cs="Tinos"/>
          <w:b/>
          <w:bCs/>
          <w:sz w:val="28"/>
          <w:szCs w:val="28"/>
        </w:rPr>
        <w:t xml:space="preserve">Расскажите, пожалуйста, как обстоят дела с жилищным строительством в республике и какую роль в этом процессе играет Росреестр?</w:t>
      </w:r>
      <w:r>
        <w:rPr>
          <w:rFonts w:ascii="Tinos" w:hAnsi="Tinos" w:cs="Tinos"/>
          <w:b/>
          <w:bCs/>
          <w:sz w:val="28"/>
          <w:szCs w:val="28"/>
        </w:rPr>
      </w:r>
      <w:r>
        <w:rPr>
          <w:rFonts w:ascii="Tinos" w:hAnsi="Tinos" w:cs="Tinos"/>
          <w:b/>
          <w:bCs/>
          <w:sz w:val="28"/>
          <w:szCs w:val="28"/>
        </w:rPr>
      </w:r>
    </w:p>
    <w:p>
      <w:pPr>
        <w:ind w:left="0" w:right="0" w:firstLine="0"/>
        <w:jc w:val="both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  <w:t xml:space="preserve">— Ст</w:t>
      </w:r>
      <w:r>
        <w:rPr>
          <w:rFonts w:ascii="Tinos" w:hAnsi="Tinos" w:eastAsia="Tinos" w:cs="Tinos"/>
          <w:sz w:val="28"/>
          <w:szCs w:val="28"/>
        </w:rPr>
        <w:t xml:space="preserve">роительная отрасль в Адыгее демонстрирует устойчивую динамику: в регионе ведётся активное строительство как многоквартирных, так и индивидуальных жилых домов. С начала года на кадастровый учёт поставлено 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25</w:t>
      </w:r>
      <w:r>
        <w:rPr>
          <w:rFonts w:ascii="Tinos" w:hAnsi="Tinos" w:eastAsia="Tinos" w:cs="Tinos"/>
          <w:color w:val="ff0000"/>
          <w:sz w:val="28"/>
          <w:szCs w:val="28"/>
          <w:highlight w:val="white"/>
        </w:rPr>
        <w:t xml:space="preserve"> </w:t>
      </w:r>
      <w:r>
        <w:rPr>
          <w:rFonts w:ascii="Tinos" w:hAnsi="Tinos" w:eastAsia="Tinos" w:cs="Tinos"/>
          <w:sz w:val="28"/>
          <w:szCs w:val="28"/>
        </w:rPr>
        <w:t xml:space="preserve">многоквартирных домов и </w:t>
      </w:r>
      <w:r>
        <w:rPr>
          <w:rFonts w:ascii="Tinos" w:hAnsi="Tinos" w:eastAsia="Tinos" w:cs="Tinos"/>
          <w:sz w:val="28"/>
          <w:szCs w:val="28"/>
        </w:rPr>
        <w:t xml:space="preserve">1647 </w:t>
      </w:r>
      <w:r>
        <w:rPr>
          <w:rFonts w:ascii="Tinos" w:hAnsi="Tinos" w:eastAsia="Tinos" w:cs="Tinos"/>
          <w:sz w:val="28"/>
          <w:szCs w:val="28"/>
        </w:rPr>
        <w:t xml:space="preserve">индивидуальных ж</w:t>
      </w:r>
      <w:r>
        <w:rPr>
          <w:rFonts w:ascii="Tinos" w:hAnsi="Tinos" w:eastAsia="Tinos" w:cs="Tinos"/>
          <w:sz w:val="28"/>
          <w:szCs w:val="28"/>
        </w:rPr>
        <w:t xml:space="preserve">и</w:t>
      </w:r>
      <w:r>
        <w:rPr>
          <w:rFonts w:ascii="Tinos" w:hAnsi="Tinos" w:eastAsia="Tinos" w:cs="Tinos"/>
          <w:sz w:val="28"/>
          <w:szCs w:val="28"/>
        </w:rPr>
        <w:t xml:space="preserve">лых домов. На фоне растущих объёмов строительства перед республикой стоит важная задача — синхронно развивать социальную инфраструктуру. Для этого необходима достоверная и актуальная информация о земельных ресурсах. Именно качественные данные Единого госуд</w:t>
      </w:r>
      <w:r>
        <w:rPr>
          <w:rFonts w:ascii="Tinos" w:hAnsi="Tinos" w:eastAsia="Tinos" w:cs="Tinos"/>
          <w:sz w:val="28"/>
          <w:szCs w:val="28"/>
        </w:rPr>
        <w:t xml:space="preserve">арственного реестра недвижимости (ЕГРН) служат основой для грамотного территориального планирования и позволяют принимать взвешенные управленческие решения.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ind w:left="0" w:right="0" w:firstLine="0"/>
        <w:jc w:val="both"/>
        <w:spacing w:before="120" w:after="120" w:line="420" w:lineRule="atLeast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/>
          <w:color w:val="000000"/>
          <w:sz w:val="28"/>
          <w:szCs w:val="28"/>
        </w:rPr>
        <w:t xml:space="preserve">— Насколько реестр недвижимости сегодня наполнен данными по республике?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ind w:left="0" w:right="0" w:firstLine="0"/>
        <w:jc w:val="both"/>
        <w:spacing w:before="120" w:after="120" w:line="420" w:lineRule="atLeast"/>
        <w:rPr>
          <w:rFonts w:ascii="Tinos" w:hAnsi="Tinos" w:cs="Tinos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/>
          <w:sz w:val="28"/>
          <w:szCs w:val="28"/>
        </w:rPr>
        <w:t xml:space="preserve">— На сегодняшний день в Едином государственном реестре недвижимости по Адыгее учтено свыше 625 тысяч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 земельных участков и объектов капитального строительства. Установлены и 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внесены в реестр границы 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53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 муниципальных образований из 60 имеющихся в Адыгее. В ЕГРН внесены сведения о г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раницах 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228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 населённых пунктов — это 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97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% от их общего количества. Эту работу мы планируем гарантированно завершить в текущем году.</w:t>
      </w:r>
      <w:r>
        <w:rPr>
          <w:rFonts w:ascii="Tinos" w:hAnsi="Tinos" w:cs="Tinos"/>
          <w:color w:val="000000" w:themeColor="text1"/>
          <w:sz w:val="28"/>
          <w:szCs w:val="28"/>
        </w:rPr>
      </w:r>
      <w:r>
        <w:rPr>
          <w:rFonts w:ascii="Tinos" w:hAnsi="Tinos" w:cs="Tinos"/>
          <w:color w:val="000000" w:themeColor="text1"/>
          <w:sz w:val="28"/>
          <w:szCs w:val="28"/>
        </w:rPr>
      </w:r>
    </w:p>
    <w:p>
      <w:pPr>
        <w:ind w:left="0" w:right="0" w:firstLine="0"/>
        <w:jc w:val="both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  <w:t xml:space="preserve">— </w:t>
      </w:r>
      <w:r>
        <w:rPr>
          <w:rFonts w:ascii="Tinos" w:hAnsi="Tinos" w:eastAsia="Tinos" w:cs="Tinos"/>
          <w:b/>
          <w:bCs/>
          <w:sz w:val="28"/>
          <w:szCs w:val="28"/>
        </w:rPr>
        <w:t xml:space="preserve">В регионе проводятся комплексные кадастровые работы. Что они дали?</w:t>
      </w:r>
      <w:r>
        <w:rPr>
          <w:rFonts w:ascii="Tinos" w:hAnsi="Tinos" w:eastAsia="Tinos" w:cs="Tinos"/>
          <w:sz w:val="28"/>
          <w:szCs w:val="28"/>
        </w:rPr>
        <w:br/>
        <w:t xml:space="preserve"> — Комплексные кадастровые работы — это наиболее эффективный инструмент для уточнения границ объектов недвижимости и исправления ошибок в их местоположении.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ind w:left="0" w:right="0" w:firstLine="0"/>
        <w:jc w:val="both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  <w:t xml:space="preserve">В прошлом году за счёт средств федерального и регионального бюджетов ККР были проведены в отношении почти 10,7 тысячи объектов недвижимости в 200 кадастровых кварталах. В текущем году работы охватили 112 кварталов: границы установлены более чем для 6 тысяч</w:t>
      </w:r>
      <w:r>
        <w:rPr>
          <w:rFonts w:ascii="Tinos" w:hAnsi="Tinos" w:eastAsia="Tinos" w:cs="Tinos"/>
          <w:sz w:val="28"/>
          <w:szCs w:val="28"/>
        </w:rPr>
        <w:t xml:space="preserve"> объектов. Такой объём работ позволяет существенно повысить достоверность сведений ЕГРН и снизить риски споров о границах.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ind w:left="0" w:right="0" w:firstLine="0"/>
        <w:jc w:val="both"/>
        <w:spacing w:before="120" w:after="120" w:line="420" w:lineRule="atLeast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/>
          <w:color w:val="000000"/>
          <w:sz w:val="28"/>
          <w:szCs w:val="28"/>
        </w:rPr>
        <w:t xml:space="preserve">— Расскажите о проекте «Земля для стройки». Какие результаты?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ind w:left="0" w:right="0" w:firstLine="0"/>
        <w:jc w:val="both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/>
          <w:sz w:val="28"/>
          <w:szCs w:val="28"/>
        </w:rPr>
        <w:t xml:space="preserve">— </w:t>
      </w:r>
      <w:r>
        <w:rPr>
          <w:rFonts w:ascii="Tinos" w:hAnsi="Tinos" w:eastAsia="Tinos" w:cs="Tinos"/>
          <w:sz w:val="28"/>
          <w:szCs w:val="28"/>
        </w:rPr>
        <w:t xml:space="preserve">В рамках проекта «Земля для стройки» сформирован перечень земельных участков и территорий, пригодных для жилищного строительства. На текущий момент в перечень включено порядка 1564 земельных участков и территорий общей площадью свыше 1120 га.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ind w:left="0" w:right="0" w:firstLine="0"/>
        <w:jc w:val="both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  <w:t xml:space="preserve">Структура земель </w:t>
      </w:r>
      <w:r>
        <w:rPr>
          <w:rFonts w:ascii="Tinos" w:hAnsi="Tinos" w:eastAsia="Tinos" w:cs="Tinos"/>
          <w:sz w:val="28"/>
          <w:szCs w:val="28"/>
        </w:rPr>
        <w:t xml:space="preserve">проекта «Земля для стройки»</w:t>
      </w:r>
      <w:r>
        <w:rPr>
          <w:rFonts w:ascii="Tinos" w:hAnsi="Tinos" w:eastAsia="Tinos" w:cs="Tinos"/>
          <w:sz w:val="28"/>
          <w:szCs w:val="28"/>
        </w:rPr>
        <w:t xml:space="preserve">: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pStyle w:val="893"/>
        <w:numPr>
          <w:ilvl w:val="0"/>
          <w:numId w:val="27"/>
        </w:numPr>
        <w:ind w:right="0"/>
        <w:jc w:val="both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  <w:t xml:space="preserve"> Сформировано 1473 земельных участка под индивидуальное жилищное строительство (ИЖС) — общая площадь 348 га. Из них в строительство вовлечено 1349 участков (96 га).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pStyle w:val="893"/>
        <w:numPr>
          <w:ilvl w:val="0"/>
          <w:numId w:val="27"/>
        </w:numPr>
        <w:ind w:right="0"/>
        <w:jc w:val="both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eastAsia="Tinos" w:cs="Tinos"/>
          <w:sz w:val="28"/>
          <w:szCs w:val="28"/>
        </w:rPr>
        <w:t xml:space="preserve">Выявлена </w:t>
      </w:r>
      <w:r>
        <w:rPr>
          <w:rFonts w:ascii="Tinos" w:hAnsi="Tinos" w:eastAsia="Tinos" w:cs="Tinos"/>
          <w:sz w:val="28"/>
          <w:szCs w:val="28"/>
        </w:rPr>
        <w:t xml:space="preserve">91 территория под многоквартирное строительство — общая площадь 772 га. В строительство вовлечено 83 участка (549 га).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ind w:left="0" w:right="0" w:firstLine="0"/>
        <w:jc w:val="both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  <w:t xml:space="preserve">Выявление и вовлечение земель в экономический оборот остаётся одной из ключевых задач ведомства. Это создаёт прочную основу для реализации перспективных строительных инициатив и способствует устойчивому развитию территорий.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ind w:left="0" w:right="0" w:firstLine="0"/>
        <w:jc w:val="both"/>
        <w:spacing w:before="120" w:after="120" w:line="420" w:lineRule="atLeast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/>
          <w:color w:val="000000"/>
          <w:sz w:val="28"/>
          <w:szCs w:val="28"/>
        </w:rPr>
        <w:t xml:space="preserve">— Ещё одно направление — отечественная картография.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ind w:left="0" w:right="0" w:firstLine="0"/>
        <w:jc w:val="both"/>
        <w:spacing w:before="120" w:after="120" w:line="420" w:lineRule="atLeast"/>
        <w:rPr>
          <w:rFonts w:ascii="Tinos" w:hAnsi="Tinos" w:cs="Tinos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/>
          <w:sz w:val="28"/>
          <w:szCs w:val="28"/>
        </w:rPr>
        <w:t xml:space="preserve">— В этом году мы должны завершить покрытие республики картографическими материалами масштаба 1:2000, а именно </w:t>
      </w:r>
      <w:r>
        <w:rPr>
          <w:rFonts w:ascii="Tinos" w:hAnsi="Tinos" w:eastAsia="Tinos" w:cs="Tinos"/>
          <w:sz w:val="28"/>
          <w:szCs w:val="28"/>
          <w:highlight w:val="none"/>
          <w:lang w:eastAsia="en-US"/>
          <w14:ligatures w14:val="none"/>
        </w:rPr>
        <w:t xml:space="preserve">территории</w:t>
      </w:r>
      <w:r>
        <w:rPr>
          <w:rFonts w:ascii="Tinos" w:hAnsi="Tinos" w:eastAsia="Tinos" w:cs="Tinos"/>
          <w:sz w:val="28"/>
          <w:szCs w:val="28"/>
          <w:highlight w:val="none"/>
          <w:lang w:eastAsia="en-US"/>
        </w:rPr>
        <w:t xml:space="preserve"> 233 населенных пунктов </w:t>
      </w:r>
      <w:r>
        <w:rPr>
          <w:rFonts w:ascii="Tinos" w:hAnsi="Tinos" w:eastAsia="Tinos" w:cs="Tinos"/>
          <w:sz w:val="28"/>
          <w:szCs w:val="28"/>
          <w:highlight w:val="none"/>
          <w:lang w:eastAsia="en-US"/>
          <w14:ligatures w14:val="none"/>
        </w:rPr>
        <w:t xml:space="preserve">Республики Адыгея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 — эт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о основа для решения градостроительных задач и территориального планирования. 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По результатам этого года Адыгея должна по этому показателю выйти на лидирующие позиции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 не только по Южному федеральному округу, но и в целом по стране.</w:t>
      </w:r>
      <w:r>
        <w:rPr>
          <w:rFonts w:ascii="Tinos" w:hAnsi="Tinos" w:cs="Tinos"/>
          <w:color w:val="000000" w:themeColor="text1"/>
          <w:sz w:val="28"/>
          <w:szCs w:val="28"/>
        </w:rPr>
      </w:r>
      <w:r>
        <w:rPr>
          <w:rFonts w:ascii="Tinos" w:hAnsi="Tinos" w:cs="Tinos"/>
          <w:color w:val="000000" w:themeColor="text1"/>
          <w:sz w:val="28"/>
          <w:szCs w:val="28"/>
        </w:rPr>
      </w:r>
    </w:p>
    <w:p>
      <w:pPr>
        <w:ind w:left="0" w:right="0" w:firstLine="0"/>
        <w:jc w:val="both"/>
        <w:spacing w:before="120" w:after="120" w:line="420" w:lineRule="atLeast"/>
        <w:rPr>
          <w:rFonts w:ascii="Tinos" w:hAnsi="Tinos" w:cs="Tinos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/>
          <w:color w:val="000000" w:themeColor="text1"/>
          <w:sz w:val="28"/>
          <w:szCs w:val="28"/>
        </w:rPr>
        <w:t xml:space="preserve">— Что можно сказать о сроках и доступности услуг Росреестра?</w:t>
      </w:r>
      <w:r>
        <w:rPr>
          <w:rFonts w:ascii="Tinos" w:hAnsi="Tinos" w:cs="Tinos"/>
          <w:color w:val="000000" w:themeColor="text1"/>
          <w:sz w:val="28"/>
          <w:szCs w:val="28"/>
        </w:rPr>
      </w:r>
      <w:r>
        <w:rPr>
          <w:rFonts w:ascii="Tinos" w:hAnsi="Tinos" w:cs="Tinos"/>
          <w:color w:val="000000" w:themeColor="text1"/>
          <w:sz w:val="28"/>
          <w:szCs w:val="28"/>
        </w:rPr>
      </w:r>
    </w:p>
    <w:p>
      <w:pPr>
        <w:ind w:left="0" w:right="0" w:firstLine="0"/>
        <w:jc w:val="both"/>
        <w:spacing w:before="120" w:after="120" w:line="420" w:lineRule="atLeast"/>
        <w:rPr>
          <w:rFonts w:ascii="Tinos" w:hAnsi="Tinos" w:cs="Tinos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— Мы планомерно сокращаем сроки регистрации прав и постановки объектов на учёт. Сегодня эта процедура занимает около трёх дней. Кроме того, видим потенциал по увеличению количества и доступности услуг в электронном виде — это направление мы продолжим разви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вать. Наша цель — повышение качества услуг для граждан и бизнеса и, в конечном счёте, качества жизни в республике.</w:t>
      </w:r>
      <w:r>
        <w:rPr>
          <w:rFonts w:ascii="Tinos" w:hAnsi="Tinos" w:cs="Tinos"/>
          <w:color w:val="000000" w:themeColor="text1"/>
          <w:sz w:val="28"/>
          <w:szCs w:val="28"/>
        </w:rPr>
      </w:r>
      <w:r>
        <w:rPr>
          <w:rFonts w:ascii="Tinos" w:hAnsi="Tinos" w:cs="Tinos"/>
          <w:color w:val="000000" w:themeColor="text1"/>
          <w:sz w:val="28"/>
          <w:szCs w:val="28"/>
        </w:rPr>
      </w:r>
    </w:p>
    <w:p>
      <w:pPr>
        <w:ind w:left="0" w:right="0" w:firstLine="0"/>
        <w:jc w:val="both"/>
        <w:spacing w:before="120" w:after="120" w:line="420" w:lineRule="atLeast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/>
          <w:color w:val="000000"/>
          <w:sz w:val="28"/>
          <w:szCs w:val="28"/>
        </w:rPr>
        <w:t xml:space="preserve">— Мариета Испановна, вы недавно возглавили Управление. С каким настроением вы смотрите на дальнейшую работу?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ind w:left="0" w:right="0" w:firstLine="0"/>
        <w:jc w:val="both"/>
        <w:spacing w:before="120" w:after="120" w:line="420" w:lineRule="atLeast"/>
        <w:rPr>
          <w:rFonts w:ascii="Tinos" w:hAnsi="Tinos" w:cs="Tinos"/>
          <w:color w:val="auto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/>
          <w:sz w:val="28"/>
          <w:szCs w:val="28"/>
        </w:rPr>
        <w:t xml:space="preserve">— </w:t>
      </w:r>
      <w:r>
        <w:rPr>
          <w:rFonts w:ascii="Tinos" w:hAnsi="Tinos" w:eastAsia="Tinos" w:cs="Tinos"/>
          <w:color w:val="auto"/>
          <w:sz w:val="28"/>
          <w:szCs w:val="28"/>
        </w:rPr>
        <w:t xml:space="preserve">С настроем на результат. </w:t>
      </w:r>
      <w:r>
        <w:rPr>
          <w:rFonts w:ascii="Tinos" w:hAnsi="Tinos" w:eastAsia="Tinos" w:cs="Tinos"/>
          <w:color w:val="auto"/>
          <w:sz w:val="28"/>
          <w:szCs w:val="28"/>
        </w:rPr>
        <w:t xml:space="preserve">Наша работа — это фундамент развития: от точности данных в реестре недвижимости зависит, где появятся новые дома, школы и дороги. И мы делаем всё, чтобы этот фундамент был надёжным.</w:t>
      </w:r>
      <w:r>
        <w:rPr>
          <w:rFonts w:ascii="Tinos" w:hAnsi="Tinos" w:cs="Tinos"/>
          <w:color w:val="auto"/>
          <w:sz w:val="28"/>
          <w:szCs w:val="28"/>
        </w:rPr>
      </w:r>
      <w:r>
        <w:rPr>
          <w:rFonts w:ascii="Tinos" w:hAnsi="Tinos" w:cs="Tinos"/>
          <w:color w:val="auto"/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Roboto">
    <w:panose1 w:val="02000000000000000000"/>
  </w:font>
  <w:font w:name="Liberation Sans">
    <w:panose1 w:val="020B06040202020202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Times New Roman">
    <w:panose1 w:val="02020603050405020304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  <w:rPr>
        <w:rFonts w:ascii="Times New Roman" w:hAnsi="Times New Roman" w:eastAsia="Times New Roman" w:cs="Times New Roman"/>
        <w:color w:val="000000"/>
        <w:sz w:val="24"/>
      </w:r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  <w:rPr>
        <w:rFonts w:ascii="Times New Roman" w:hAnsi="Times New Roman" w:eastAsia="Times New Roman" w:cs="Times New Roman"/>
        <w:color w:val="000000"/>
        <w:sz w:val="24"/>
      </w:r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19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  <w:rPr>
        <w:rFonts w:ascii="Times New Roman" w:hAnsi="Times New Roman" w:eastAsia="Times New Roman" w:cs="Times New Roman"/>
        <w:color w:val="000000"/>
        <w:sz w:val="24"/>
      </w:r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21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  <w:rPr>
        <w:rFonts w:ascii="Times New Roman" w:hAnsi="Times New Roman" w:eastAsia="Times New Roman" w:cs="Times New Roman"/>
        <w:color w:val="000000"/>
        <w:sz w:val="24"/>
      </w:r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23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2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  <w:rPr>
        <w:rFonts w:ascii="Roboto" w:hAnsi="Roboto" w:eastAsia="Roboto" w:cs="Roboto"/>
        <w:color w:val="000000"/>
        <w:sz w:val="21"/>
      </w:r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26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num w:numId="1">
    <w:abstractNumId w:val="7"/>
  </w:num>
  <w:num w:numId="2">
    <w:abstractNumId w:val="3"/>
  </w:num>
  <w:num w:numId="3">
    <w:abstractNumId w:val="5"/>
  </w:num>
  <w:num w:numId="4">
    <w:abstractNumId w:val="14"/>
  </w:num>
  <w:num w:numId="5">
    <w:abstractNumId w:val="8"/>
  </w:num>
  <w:num w:numId="6">
    <w:abstractNumId w:val="6"/>
  </w:num>
  <w:num w:numId="7">
    <w:abstractNumId w:val="1"/>
  </w:num>
  <w:num w:numId="8">
    <w:abstractNumId w:val="4"/>
  </w:num>
  <w:num w:numId="9">
    <w:abstractNumId w:val="2"/>
  </w:num>
  <w:num w:numId="10">
    <w:abstractNumId w:val="11"/>
  </w:num>
  <w:num w:numId="11">
    <w:abstractNumId w:val="12"/>
  </w:num>
  <w:num w:numId="12">
    <w:abstractNumId w:val="13"/>
  </w:num>
  <w:num w:numId="13">
    <w:abstractNumId w:val="9"/>
  </w:num>
  <w:num w:numId="14">
    <w:abstractNumId w:val="0"/>
  </w:num>
  <w:num w:numId="15">
    <w:abstractNumId w:val="10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10">
    <w:name w:val="Heading 1 Char"/>
    <w:basedOn w:val="886"/>
    <w:link w:val="884"/>
    <w:uiPriority w:val="9"/>
    <w:rPr>
      <w:rFonts w:ascii="Arial" w:hAnsi="Arial" w:eastAsia="Arial" w:cs="Arial"/>
      <w:sz w:val="40"/>
      <w:szCs w:val="40"/>
    </w:rPr>
  </w:style>
  <w:style w:type="character" w:styleId="711">
    <w:name w:val="Heading 2 Char"/>
    <w:basedOn w:val="886"/>
    <w:link w:val="885"/>
    <w:uiPriority w:val="9"/>
    <w:rPr>
      <w:rFonts w:ascii="Arial" w:hAnsi="Arial" w:eastAsia="Arial" w:cs="Arial"/>
      <w:sz w:val="34"/>
    </w:rPr>
  </w:style>
  <w:style w:type="paragraph" w:styleId="712">
    <w:name w:val="Heading 3"/>
    <w:basedOn w:val="883"/>
    <w:next w:val="883"/>
    <w:link w:val="713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13">
    <w:name w:val="Heading 3 Char"/>
    <w:basedOn w:val="886"/>
    <w:link w:val="712"/>
    <w:uiPriority w:val="9"/>
    <w:rPr>
      <w:rFonts w:ascii="Arial" w:hAnsi="Arial" w:eastAsia="Arial" w:cs="Arial"/>
      <w:sz w:val="30"/>
      <w:szCs w:val="30"/>
    </w:rPr>
  </w:style>
  <w:style w:type="paragraph" w:styleId="714">
    <w:name w:val="Heading 4"/>
    <w:basedOn w:val="883"/>
    <w:next w:val="883"/>
    <w:link w:val="71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15">
    <w:name w:val="Heading 4 Char"/>
    <w:basedOn w:val="886"/>
    <w:link w:val="714"/>
    <w:uiPriority w:val="9"/>
    <w:rPr>
      <w:rFonts w:ascii="Arial" w:hAnsi="Arial" w:eastAsia="Arial" w:cs="Arial"/>
      <w:b/>
      <w:bCs/>
      <w:sz w:val="26"/>
      <w:szCs w:val="26"/>
    </w:rPr>
  </w:style>
  <w:style w:type="paragraph" w:styleId="716">
    <w:name w:val="Heading 5"/>
    <w:basedOn w:val="883"/>
    <w:next w:val="883"/>
    <w:link w:val="71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17">
    <w:name w:val="Heading 5 Char"/>
    <w:basedOn w:val="886"/>
    <w:link w:val="716"/>
    <w:uiPriority w:val="9"/>
    <w:rPr>
      <w:rFonts w:ascii="Arial" w:hAnsi="Arial" w:eastAsia="Arial" w:cs="Arial"/>
      <w:b/>
      <w:bCs/>
      <w:sz w:val="24"/>
      <w:szCs w:val="24"/>
    </w:rPr>
  </w:style>
  <w:style w:type="paragraph" w:styleId="718">
    <w:name w:val="Heading 6"/>
    <w:basedOn w:val="883"/>
    <w:next w:val="883"/>
    <w:link w:val="71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19">
    <w:name w:val="Heading 6 Char"/>
    <w:basedOn w:val="886"/>
    <w:link w:val="718"/>
    <w:uiPriority w:val="9"/>
    <w:rPr>
      <w:rFonts w:ascii="Arial" w:hAnsi="Arial" w:eastAsia="Arial" w:cs="Arial"/>
      <w:b/>
      <w:bCs/>
      <w:sz w:val="22"/>
      <w:szCs w:val="22"/>
    </w:rPr>
  </w:style>
  <w:style w:type="paragraph" w:styleId="720">
    <w:name w:val="Heading 7"/>
    <w:basedOn w:val="883"/>
    <w:next w:val="883"/>
    <w:link w:val="72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21">
    <w:name w:val="Heading 7 Char"/>
    <w:basedOn w:val="886"/>
    <w:link w:val="72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22">
    <w:name w:val="Heading 8"/>
    <w:basedOn w:val="883"/>
    <w:next w:val="883"/>
    <w:link w:val="72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23">
    <w:name w:val="Heading 8 Char"/>
    <w:basedOn w:val="886"/>
    <w:link w:val="722"/>
    <w:uiPriority w:val="9"/>
    <w:rPr>
      <w:rFonts w:ascii="Arial" w:hAnsi="Arial" w:eastAsia="Arial" w:cs="Arial"/>
      <w:i/>
      <w:iCs/>
      <w:sz w:val="22"/>
      <w:szCs w:val="22"/>
    </w:rPr>
  </w:style>
  <w:style w:type="paragraph" w:styleId="724">
    <w:name w:val="Heading 9"/>
    <w:basedOn w:val="883"/>
    <w:next w:val="883"/>
    <w:link w:val="72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25">
    <w:name w:val="Heading 9 Char"/>
    <w:basedOn w:val="886"/>
    <w:link w:val="724"/>
    <w:uiPriority w:val="9"/>
    <w:rPr>
      <w:rFonts w:ascii="Arial" w:hAnsi="Arial" w:eastAsia="Arial" w:cs="Arial"/>
      <w:i/>
      <w:iCs/>
      <w:sz w:val="21"/>
      <w:szCs w:val="21"/>
    </w:rPr>
  </w:style>
  <w:style w:type="paragraph" w:styleId="726">
    <w:name w:val="Title"/>
    <w:basedOn w:val="883"/>
    <w:next w:val="883"/>
    <w:link w:val="72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27">
    <w:name w:val="Title Char"/>
    <w:basedOn w:val="886"/>
    <w:link w:val="726"/>
    <w:uiPriority w:val="10"/>
    <w:rPr>
      <w:sz w:val="48"/>
      <w:szCs w:val="48"/>
    </w:rPr>
  </w:style>
  <w:style w:type="paragraph" w:styleId="728">
    <w:name w:val="Subtitle"/>
    <w:basedOn w:val="883"/>
    <w:next w:val="883"/>
    <w:link w:val="729"/>
    <w:uiPriority w:val="11"/>
    <w:qFormat/>
    <w:pPr>
      <w:spacing w:before="200" w:after="200"/>
    </w:pPr>
    <w:rPr>
      <w:sz w:val="24"/>
      <w:szCs w:val="24"/>
    </w:rPr>
  </w:style>
  <w:style w:type="character" w:styleId="729">
    <w:name w:val="Subtitle Char"/>
    <w:basedOn w:val="886"/>
    <w:link w:val="728"/>
    <w:uiPriority w:val="11"/>
    <w:rPr>
      <w:sz w:val="24"/>
      <w:szCs w:val="24"/>
    </w:rPr>
  </w:style>
  <w:style w:type="paragraph" w:styleId="730">
    <w:name w:val="Quote"/>
    <w:basedOn w:val="883"/>
    <w:next w:val="883"/>
    <w:link w:val="731"/>
    <w:uiPriority w:val="29"/>
    <w:qFormat/>
    <w:pPr>
      <w:ind w:left="720" w:right="720"/>
    </w:pPr>
    <w:rPr>
      <w:i/>
    </w:rPr>
  </w:style>
  <w:style w:type="character" w:styleId="731">
    <w:name w:val="Quote Char"/>
    <w:link w:val="730"/>
    <w:uiPriority w:val="29"/>
    <w:rPr>
      <w:i/>
    </w:rPr>
  </w:style>
  <w:style w:type="paragraph" w:styleId="732">
    <w:name w:val="Intense Quote"/>
    <w:basedOn w:val="883"/>
    <w:next w:val="883"/>
    <w:link w:val="73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33">
    <w:name w:val="Intense Quote Char"/>
    <w:link w:val="732"/>
    <w:uiPriority w:val="30"/>
    <w:rPr>
      <w:i/>
    </w:rPr>
  </w:style>
  <w:style w:type="paragraph" w:styleId="734">
    <w:name w:val="Header"/>
    <w:basedOn w:val="883"/>
    <w:link w:val="73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35">
    <w:name w:val="Header Char"/>
    <w:basedOn w:val="886"/>
    <w:link w:val="734"/>
    <w:uiPriority w:val="99"/>
  </w:style>
  <w:style w:type="paragraph" w:styleId="736">
    <w:name w:val="Footer"/>
    <w:basedOn w:val="883"/>
    <w:link w:val="73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37">
    <w:name w:val="Footer Char"/>
    <w:basedOn w:val="886"/>
    <w:link w:val="736"/>
    <w:uiPriority w:val="99"/>
  </w:style>
  <w:style w:type="paragraph" w:styleId="738">
    <w:name w:val="Caption"/>
    <w:basedOn w:val="883"/>
    <w:next w:val="883"/>
    <w:link w:val="73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39">
    <w:name w:val="Caption Char"/>
    <w:basedOn w:val="738"/>
    <w:link w:val="736"/>
    <w:uiPriority w:val="35"/>
  </w:style>
  <w:style w:type="table" w:styleId="740">
    <w:name w:val="Table Grid"/>
    <w:basedOn w:val="887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1">
    <w:name w:val="Table Grid Light"/>
    <w:basedOn w:val="88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2">
    <w:name w:val="Plain Table 1"/>
    <w:basedOn w:val="88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3">
    <w:name w:val="Plain Table 2"/>
    <w:basedOn w:val="88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4">
    <w:name w:val="Plain Table 3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45">
    <w:name w:val="Plain Table 4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Plain Table 5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47">
    <w:name w:val="Grid Table 1 Light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Grid Table 1 Light - Accent 1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Grid Table 1 Light - Accent 2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Grid Table 1 Light - Accent 3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>
    <w:name w:val="Grid Table 1 Light - Accent 4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Grid Table 1 Light - Accent 5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>
    <w:name w:val="Grid Table 1 Light - Accent 6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>
    <w:name w:val="Grid Table 2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2 - Accent 1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2 - Accent 2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2 - Accent 3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2 - Accent 4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2 - Accent 5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2 - Accent 6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3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3 - Accent 1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3 - Accent 2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3 - Accent 3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3 - Accent 4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3 - Accent 5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3 - Accent 6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4"/>
    <w:basedOn w:val="88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9">
    <w:name w:val="Grid Table 4 - Accent 1"/>
    <w:basedOn w:val="88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70">
    <w:name w:val="Grid Table 4 - Accent 2"/>
    <w:basedOn w:val="88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71">
    <w:name w:val="Grid Table 4 - Accent 3"/>
    <w:basedOn w:val="88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72">
    <w:name w:val="Grid Table 4 - Accent 4"/>
    <w:basedOn w:val="88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73">
    <w:name w:val="Grid Table 4 - Accent 5"/>
    <w:basedOn w:val="88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74">
    <w:name w:val="Grid Table 4 - Accent 6"/>
    <w:basedOn w:val="88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75">
    <w:name w:val="Grid Table 5 Dark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76">
    <w:name w:val="Grid Table 5 Dark- Accent 1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77">
    <w:name w:val="Grid Table 5 Dark - Accent 2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78">
    <w:name w:val="Grid Table 5 Dark - Accent 3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79">
    <w:name w:val="Grid Table 5 Dark- Accent 4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80">
    <w:name w:val="Grid Table 5 Dark - Accent 5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81">
    <w:name w:val="Grid Table 5 Dark - Accent 6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82">
    <w:name w:val="Grid Table 6 Colorful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83">
    <w:name w:val="Grid Table 6 Colorful - Accent 1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84">
    <w:name w:val="Grid Table 6 Colorful - Accent 2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85">
    <w:name w:val="Grid Table 6 Colorful - Accent 3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86">
    <w:name w:val="Grid Table 6 Colorful - Accent 4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87">
    <w:name w:val="Grid Table 6 Colorful - Accent 5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8">
    <w:name w:val="Grid Table 6 Colorful - Accent 6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9">
    <w:name w:val="Grid Table 7 Colorful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Grid Table 7 Colorful - Accent 1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Grid Table 7 Colorful - Accent 2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Grid Table 7 Colorful - Accent 3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Grid Table 7 Colorful - Accent 4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Grid Table 7 Colorful - Accent 5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>
    <w:name w:val="Grid Table 7 Colorful - Accent 6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List Table 1 Light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>
    <w:name w:val="List Table 1 Light - Accent 1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>
    <w:name w:val="List Table 1 Light - Accent 2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>
    <w:name w:val="List Table 1 Light - Accent 3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>
    <w:name w:val="List Table 1 Light - Accent 4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>
    <w:name w:val="List Table 1 Light - Accent 5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>
    <w:name w:val="List Table 1 Light - Accent 6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>
    <w:name w:val="List Table 2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04">
    <w:name w:val="List Table 2 - Accent 1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05">
    <w:name w:val="List Table 2 - Accent 2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06">
    <w:name w:val="List Table 2 - Accent 3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07">
    <w:name w:val="List Table 2 - Accent 4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08">
    <w:name w:val="List Table 2 - Accent 5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09">
    <w:name w:val="List Table 2 - Accent 6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10">
    <w:name w:val="List Table 3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3 - Accent 1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3 - Accent 2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3 - Accent 3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List Table 3 - Accent 4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>
    <w:name w:val="List Table 3 - Accent 5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>
    <w:name w:val="List Table 3 - Accent 6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List Table 4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List Table 4 - Accent 1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List Table 4 - Accent 2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>
    <w:name w:val="List Table 4 - Accent 3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>
    <w:name w:val="List Table 4 - Accent 4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>
    <w:name w:val="List Table 4 - Accent 5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>
    <w:name w:val="List Table 4 - Accent 6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>
    <w:name w:val="List Table 5 Dark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5">
    <w:name w:val="List Table 5 Dark - Accent 1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6">
    <w:name w:val="List Table 5 Dark - Accent 2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7">
    <w:name w:val="List Table 5 Dark - Accent 3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8">
    <w:name w:val="List Table 5 Dark - Accent 4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9">
    <w:name w:val="List Table 5 Dark - Accent 5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0">
    <w:name w:val="List Table 5 Dark - Accent 6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1">
    <w:name w:val="List Table 6 Colorful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32">
    <w:name w:val="List Table 6 Colorful - Accent 1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33">
    <w:name w:val="List Table 6 Colorful - Accent 2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34">
    <w:name w:val="List Table 6 Colorful - Accent 3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35">
    <w:name w:val="List Table 6 Colorful - Accent 4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36">
    <w:name w:val="List Table 6 Colorful - Accent 5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37">
    <w:name w:val="List Table 6 Colorful - Accent 6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38">
    <w:name w:val="List Table 7 Colorful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39">
    <w:name w:val="List Table 7 Colorful - Accent 1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40">
    <w:name w:val="List Table 7 Colorful - Accent 2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41">
    <w:name w:val="List Table 7 Colorful - Accent 3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42">
    <w:name w:val="List Table 7 Colorful - Accent 4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43">
    <w:name w:val="List Table 7 Colorful - Accent 5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44">
    <w:name w:val="List Table 7 Colorful - Accent 6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45">
    <w:name w:val="Lined - Accent"/>
    <w:basedOn w:val="8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6">
    <w:name w:val="Lined - Accent 1"/>
    <w:basedOn w:val="8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47">
    <w:name w:val="Lined - Accent 2"/>
    <w:basedOn w:val="8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48">
    <w:name w:val="Lined - Accent 3"/>
    <w:basedOn w:val="8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49">
    <w:name w:val="Lined - Accent 4"/>
    <w:basedOn w:val="8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50">
    <w:name w:val="Lined - Accent 5"/>
    <w:basedOn w:val="8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51">
    <w:name w:val="Lined - Accent 6"/>
    <w:basedOn w:val="8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52">
    <w:name w:val="Bordered &amp; Lined - Accent"/>
    <w:basedOn w:val="8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53">
    <w:name w:val="Bordered &amp; Lined - Accent 1"/>
    <w:basedOn w:val="8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54">
    <w:name w:val="Bordered &amp; Lined - Accent 2"/>
    <w:basedOn w:val="8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55">
    <w:name w:val="Bordered &amp; Lined - Accent 3"/>
    <w:basedOn w:val="8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56">
    <w:name w:val="Bordered &amp; Lined - Accent 4"/>
    <w:basedOn w:val="8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57">
    <w:name w:val="Bordered &amp; Lined - Accent 5"/>
    <w:basedOn w:val="8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58">
    <w:name w:val="Bordered &amp; Lined - Accent 6"/>
    <w:basedOn w:val="8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59">
    <w:name w:val="Bordered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60">
    <w:name w:val="Bordered - Accent 1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61">
    <w:name w:val="Bordered - Accent 2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62">
    <w:name w:val="Bordered - Accent 3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63">
    <w:name w:val="Bordered - Accent 4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64">
    <w:name w:val="Bordered - Accent 5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65">
    <w:name w:val="Bordered - Accent 6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66">
    <w:name w:val="footnote text"/>
    <w:basedOn w:val="883"/>
    <w:link w:val="867"/>
    <w:uiPriority w:val="99"/>
    <w:semiHidden/>
    <w:unhideWhenUsed/>
    <w:pPr>
      <w:spacing w:after="40" w:line="240" w:lineRule="auto"/>
    </w:pPr>
    <w:rPr>
      <w:sz w:val="18"/>
    </w:rPr>
  </w:style>
  <w:style w:type="character" w:styleId="867">
    <w:name w:val="Footnote Text Char"/>
    <w:link w:val="866"/>
    <w:uiPriority w:val="99"/>
    <w:rPr>
      <w:sz w:val="18"/>
    </w:rPr>
  </w:style>
  <w:style w:type="character" w:styleId="868">
    <w:name w:val="footnote reference"/>
    <w:basedOn w:val="886"/>
    <w:uiPriority w:val="99"/>
    <w:unhideWhenUsed/>
    <w:rPr>
      <w:vertAlign w:val="superscript"/>
    </w:rPr>
  </w:style>
  <w:style w:type="paragraph" w:styleId="869">
    <w:name w:val="endnote text"/>
    <w:basedOn w:val="883"/>
    <w:link w:val="870"/>
    <w:uiPriority w:val="99"/>
    <w:semiHidden/>
    <w:unhideWhenUsed/>
    <w:pPr>
      <w:spacing w:after="0" w:line="240" w:lineRule="auto"/>
    </w:pPr>
    <w:rPr>
      <w:sz w:val="20"/>
    </w:rPr>
  </w:style>
  <w:style w:type="character" w:styleId="870">
    <w:name w:val="Endnote Text Char"/>
    <w:link w:val="869"/>
    <w:uiPriority w:val="99"/>
    <w:rPr>
      <w:sz w:val="20"/>
    </w:rPr>
  </w:style>
  <w:style w:type="character" w:styleId="871">
    <w:name w:val="endnote reference"/>
    <w:basedOn w:val="886"/>
    <w:uiPriority w:val="99"/>
    <w:semiHidden/>
    <w:unhideWhenUsed/>
    <w:rPr>
      <w:vertAlign w:val="superscript"/>
    </w:rPr>
  </w:style>
  <w:style w:type="paragraph" w:styleId="872">
    <w:name w:val="toc 1"/>
    <w:basedOn w:val="883"/>
    <w:next w:val="883"/>
    <w:uiPriority w:val="39"/>
    <w:unhideWhenUsed/>
    <w:pPr>
      <w:ind w:left="0" w:right="0" w:firstLine="0"/>
      <w:spacing w:after="57"/>
    </w:pPr>
  </w:style>
  <w:style w:type="paragraph" w:styleId="873">
    <w:name w:val="toc 2"/>
    <w:basedOn w:val="883"/>
    <w:next w:val="883"/>
    <w:uiPriority w:val="39"/>
    <w:unhideWhenUsed/>
    <w:pPr>
      <w:ind w:left="283" w:right="0" w:firstLine="0"/>
      <w:spacing w:after="57"/>
    </w:pPr>
  </w:style>
  <w:style w:type="paragraph" w:styleId="874">
    <w:name w:val="toc 3"/>
    <w:basedOn w:val="883"/>
    <w:next w:val="883"/>
    <w:uiPriority w:val="39"/>
    <w:unhideWhenUsed/>
    <w:pPr>
      <w:ind w:left="567" w:right="0" w:firstLine="0"/>
      <w:spacing w:after="57"/>
    </w:pPr>
  </w:style>
  <w:style w:type="paragraph" w:styleId="875">
    <w:name w:val="toc 4"/>
    <w:basedOn w:val="883"/>
    <w:next w:val="883"/>
    <w:uiPriority w:val="39"/>
    <w:unhideWhenUsed/>
    <w:pPr>
      <w:ind w:left="850" w:right="0" w:firstLine="0"/>
      <w:spacing w:after="57"/>
    </w:pPr>
  </w:style>
  <w:style w:type="paragraph" w:styleId="876">
    <w:name w:val="toc 5"/>
    <w:basedOn w:val="883"/>
    <w:next w:val="883"/>
    <w:uiPriority w:val="39"/>
    <w:unhideWhenUsed/>
    <w:pPr>
      <w:ind w:left="1134" w:right="0" w:firstLine="0"/>
      <w:spacing w:after="57"/>
    </w:pPr>
  </w:style>
  <w:style w:type="paragraph" w:styleId="877">
    <w:name w:val="toc 6"/>
    <w:basedOn w:val="883"/>
    <w:next w:val="883"/>
    <w:uiPriority w:val="39"/>
    <w:unhideWhenUsed/>
    <w:pPr>
      <w:ind w:left="1417" w:right="0" w:firstLine="0"/>
      <w:spacing w:after="57"/>
    </w:pPr>
  </w:style>
  <w:style w:type="paragraph" w:styleId="878">
    <w:name w:val="toc 7"/>
    <w:basedOn w:val="883"/>
    <w:next w:val="883"/>
    <w:uiPriority w:val="39"/>
    <w:unhideWhenUsed/>
    <w:pPr>
      <w:ind w:left="1701" w:right="0" w:firstLine="0"/>
      <w:spacing w:after="57"/>
    </w:pPr>
  </w:style>
  <w:style w:type="paragraph" w:styleId="879">
    <w:name w:val="toc 8"/>
    <w:basedOn w:val="883"/>
    <w:next w:val="883"/>
    <w:uiPriority w:val="39"/>
    <w:unhideWhenUsed/>
    <w:pPr>
      <w:ind w:left="1984" w:right="0" w:firstLine="0"/>
      <w:spacing w:after="57"/>
    </w:pPr>
  </w:style>
  <w:style w:type="paragraph" w:styleId="880">
    <w:name w:val="toc 9"/>
    <w:basedOn w:val="883"/>
    <w:next w:val="883"/>
    <w:uiPriority w:val="39"/>
    <w:unhideWhenUsed/>
    <w:pPr>
      <w:ind w:left="2268" w:right="0" w:firstLine="0"/>
      <w:spacing w:after="57"/>
    </w:pPr>
  </w:style>
  <w:style w:type="paragraph" w:styleId="881">
    <w:name w:val="TOC Heading"/>
    <w:uiPriority w:val="39"/>
    <w:unhideWhenUsed/>
  </w:style>
  <w:style w:type="paragraph" w:styleId="882">
    <w:name w:val="table of figures"/>
    <w:basedOn w:val="883"/>
    <w:next w:val="883"/>
    <w:uiPriority w:val="99"/>
    <w:unhideWhenUsed/>
    <w:pPr>
      <w:spacing w:after="0" w:afterAutospacing="0"/>
    </w:pPr>
  </w:style>
  <w:style w:type="paragraph" w:styleId="883" w:default="1">
    <w:name w:val="Normal"/>
    <w:qFormat/>
  </w:style>
  <w:style w:type="paragraph" w:styleId="884">
    <w:name w:val="Heading 1"/>
    <w:basedOn w:val="883"/>
    <w:next w:val="883"/>
    <w:link w:val="892"/>
    <w:uiPriority w:val="9"/>
    <w:qFormat/>
    <w:pPr>
      <w:keepLines/>
      <w:keepNext/>
      <w:spacing w:before="240" w:after="0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885">
    <w:name w:val="Heading 2"/>
    <w:basedOn w:val="883"/>
    <w:next w:val="883"/>
    <w:link w:val="901"/>
    <w:uiPriority w:val="9"/>
    <w:semiHidden/>
    <w:unhideWhenUsed/>
    <w:qFormat/>
    <w:pPr>
      <w:keepLines/>
      <w:keepNext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5b9bd5" w:themeColor="accent1"/>
      <w:sz w:val="26"/>
      <w:szCs w:val="26"/>
    </w:rPr>
  </w:style>
  <w:style w:type="character" w:styleId="886" w:default="1">
    <w:name w:val="Default Paragraph Font"/>
    <w:uiPriority w:val="1"/>
    <w:semiHidden/>
    <w:unhideWhenUsed/>
  </w:style>
  <w:style w:type="table" w:styleId="88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88" w:default="1">
    <w:name w:val="No List"/>
    <w:uiPriority w:val="99"/>
    <w:semiHidden/>
    <w:unhideWhenUsed/>
  </w:style>
  <w:style w:type="paragraph" w:styleId="889">
    <w:name w:val="Balloon Text"/>
    <w:basedOn w:val="883"/>
    <w:link w:val="890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90" w:customStyle="1">
    <w:name w:val="Текст выноски Знак"/>
    <w:basedOn w:val="886"/>
    <w:link w:val="889"/>
    <w:uiPriority w:val="99"/>
    <w:semiHidden/>
    <w:rPr>
      <w:rFonts w:ascii="Segoe UI" w:hAnsi="Segoe UI" w:cs="Segoe UI"/>
      <w:sz w:val="18"/>
      <w:szCs w:val="18"/>
    </w:rPr>
  </w:style>
  <w:style w:type="paragraph" w:styleId="891">
    <w:name w:val="No Spacing"/>
    <w:uiPriority w:val="1"/>
    <w:qFormat/>
    <w:pPr>
      <w:spacing w:after="0" w:line="240" w:lineRule="auto"/>
    </w:pPr>
  </w:style>
  <w:style w:type="character" w:styleId="892" w:customStyle="1">
    <w:name w:val="Заголовок 1 Знак"/>
    <w:basedOn w:val="886"/>
    <w:link w:val="884"/>
    <w:uiPriority w:val="9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893">
    <w:name w:val="List Paragraph"/>
    <w:basedOn w:val="883"/>
    <w:uiPriority w:val="34"/>
    <w:qFormat/>
    <w:pPr>
      <w:contextualSpacing/>
      <w:ind w:left="720"/>
      <w:spacing w:line="256" w:lineRule="auto"/>
    </w:pPr>
  </w:style>
  <w:style w:type="character" w:styleId="894">
    <w:name w:val="Hyperlink"/>
    <w:basedOn w:val="886"/>
    <w:uiPriority w:val="99"/>
    <w:unhideWhenUsed/>
    <w:rPr>
      <w:color w:val="0563c1" w:themeColor="hyperlink"/>
      <w:u w:val="single"/>
    </w:rPr>
  </w:style>
  <w:style w:type="character" w:styleId="895">
    <w:name w:val="annotation reference"/>
    <w:basedOn w:val="886"/>
    <w:uiPriority w:val="99"/>
    <w:semiHidden/>
    <w:unhideWhenUsed/>
    <w:rPr>
      <w:sz w:val="16"/>
      <w:szCs w:val="16"/>
    </w:rPr>
  </w:style>
  <w:style w:type="paragraph" w:styleId="896">
    <w:name w:val="annotation text"/>
    <w:basedOn w:val="883"/>
    <w:link w:val="897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897" w:customStyle="1">
    <w:name w:val="Текст примечания Знак"/>
    <w:basedOn w:val="886"/>
    <w:link w:val="896"/>
    <w:uiPriority w:val="99"/>
    <w:semiHidden/>
    <w:rPr>
      <w:sz w:val="20"/>
      <w:szCs w:val="20"/>
    </w:rPr>
  </w:style>
  <w:style w:type="paragraph" w:styleId="898">
    <w:name w:val="annotation subject"/>
    <w:basedOn w:val="896"/>
    <w:next w:val="896"/>
    <w:link w:val="899"/>
    <w:uiPriority w:val="99"/>
    <w:semiHidden/>
    <w:unhideWhenUsed/>
    <w:rPr>
      <w:b/>
      <w:bCs/>
    </w:rPr>
  </w:style>
  <w:style w:type="character" w:styleId="899" w:customStyle="1">
    <w:name w:val="Тема примечания Знак"/>
    <w:basedOn w:val="897"/>
    <w:link w:val="898"/>
    <w:uiPriority w:val="99"/>
    <w:semiHidden/>
    <w:rPr>
      <w:b/>
      <w:bCs/>
      <w:sz w:val="20"/>
      <w:szCs w:val="20"/>
    </w:rPr>
  </w:style>
  <w:style w:type="paragraph" w:styleId="900">
    <w:name w:val="Normal (Web)"/>
    <w:basedOn w:val="883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901" w:customStyle="1">
    <w:name w:val="Заголовок 2 Знак"/>
    <w:basedOn w:val="886"/>
    <w:link w:val="885"/>
    <w:uiPriority w:val="9"/>
    <w:semiHidden/>
    <w:rPr>
      <w:rFonts w:asciiTheme="majorHAnsi" w:hAnsiTheme="majorHAnsi" w:eastAsiaTheme="majorEastAsia" w:cstheme="majorBidi"/>
      <w:b/>
      <w:bCs/>
      <w:color w:val="5b9bd5" w:themeColor="accent1"/>
      <w:sz w:val="26"/>
      <w:szCs w:val="26"/>
    </w:rPr>
  </w:style>
  <w:style w:type="character" w:styleId="902">
    <w:name w:val="Strong"/>
    <w:basedOn w:val="886"/>
    <w:uiPriority w:val="22"/>
    <w:rPr>
      <w:b/>
      <w:bCs/>
    </w:rPr>
  </w:style>
  <w:style w:type="character" w:styleId="903">
    <w:name w:val="Emphasis"/>
    <w:basedOn w:val="886"/>
    <w:uiPriority w:val="20"/>
    <w:rPr>
      <w:i/>
      <w:i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Р7-Офис/2026.2.1.2269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Пушкарская Диана Дмитриевна</dc:creator>
  <cp:lastModifiedBy>kuprienko_na</cp:lastModifiedBy>
  <cp:revision>14</cp:revision>
  <dcterms:created xsi:type="dcterms:W3CDTF">2024-02-27T12:11:00Z</dcterms:created>
  <dcterms:modified xsi:type="dcterms:W3CDTF">2026-09-04T13:34:46Z</dcterms:modified>
</cp:coreProperties>
</file>